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FE" w:rsidRPr="00E90746" w:rsidRDefault="00F911F9" w:rsidP="00E907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746">
        <w:rPr>
          <w:rFonts w:ascii="Times New Roman" w:hAnsi="Times New Roman" w:cs="Times New Roman"/>
          <w:sz w:val="24"/>
          <w:szCs w:val="24"/>
        </w:rPr>
        <w:t xml:space="preserve">Sochaczew dnia 02.08.2019 r. </w:t>
      </w:r>
    </w:p>
    <w:p w:rsidR="00F911F9" w:rsidRPr="00E90746" w:rsidRDefault="00F911F9" w:rsidP="00E90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746">
        <w:rPr>
          <w:rFonts w:ascii="Times New Roman" w:hAnsi="Times New Roman" w:cs="Times New Roman"/>
          <w:sz w:val="24"/>
          <w:szCs w:val="24"/>
        </w:rPr>
        <w:t>ZP.272.3.26.3.2019</w:t>
      </w:r>
    </w:p>
    <w:p w:rsidR="00F911F9" w:rsidRPr="00E90746" w:rsidRDefault="00F911F9" w:rsidP="00E9074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746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F911F9" w:rsidRPr="00E90746" w:rsidRDefault="00F911F9" w:rsidP="00E90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746">
        <w:rPr>
          <w:rFonts w:ascii="Times New Roman" w:hAnsi="Times New Roman" w:cs="Times New Roman"/>
          <w:sz w:val="24"/>
          <w:szCs w:val="24"/>
        </w:rPr>
        <w:tab/>
      </w:r>
      <w:r w:rsidRPr="00E90746">
        <w:rPr>
          <w:rFonts w:ascii="Times New Roman" w:hAnsi="Times New Roman" w:cs="Times New Roman"/>
          <w:sz w:val="24"/>
          <w:szCs w:val="24"/>
        </w:rPr>
        <w:tab/>
      </w:r>
      <w:r w:rsidRPr="00E90746">
        <w:rPr>
          <w:rFonts w:ascii="Times New Roman" w:hAnsi="Times New Roman" w:cs="Times New Roman"/>
          <w:sz w:val="24"/>
          <w:szCs w:val="24"/>
        </w:rPr>
        <w:tab/>
      </w:r>
      <w:r w:rsidRPr="00E90746">
        <w:rPr>
          <w:rFonts w:ascii="Times New Roman" w:hAnsi="Times New Roman" w:cs="Times New Roman"/>
          <w:sz w:val="24"/>
          <w:szCs w:val="24"/>
        </w:rPr>
        <w:tab/>
      </w:r>
      <w:r w:rsidRPr="00E90746">
        <w:rPr>
          <w:rFonts w:ascii="Times New Roman" w:hAnsi="Times New Roman" w:cs="Times New Roman"/>
          <w:sz w:val="24"/>
          <w:szCs w:val="24"/>
        </w:rPr>
        <w:tab/>
      </w:r>
      <w:r w:rsidRPr="00E90746">
        <w:rPr>
          <w:rFonts w:ascii="Times New Roman" w:hAnsi="Times New Roman" w:cs="Times New Roman"/>
          <w:sz w:val="24"/>
          <w:szCs w:val="24"/>
        </w:rPr>
        <w:tab/>
      </w:r>
      <w:r w:rsidRPr="00E90746">
        <w:rPr>
          <w:rFonts w:ascii="Times New Roman" w:hAnsi="Times New Roman" w:cs="Times New Roman"/>
          <w:sz w:val="24"/>
          <w:szCs w:val="24"/>
        </w:rPr>
        <w:tab/>
      </w:r>
      <w:r w:rsidRPr="00E90746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F911F9" w:rsidRPr="00E90746" w:rsidRDefault="00F911F9" w:rsidP="00E90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746">
        <w:rPr>
          <w:rFonts w:ascii="Times New Roman" w:hAnsi="Times New Roman" w:cs="Times New Roman"/>
          <w:sz w:val="24"/>
          <w:szCs w:val="24"/>
        </w:rPr>
        <w:tab/>
      </w:r>
      <w:r w:rsidRPr="00E90746">
        <w:rPr>
          <w:rFonts w:ascii="Times New Roman" w:hAnsi="Times New Roman" w:cs="Times New Roman"/>
          <w:sz w:val="24"/>
          <w:szCs w:val="24"/>
        </w:rPr>
        <w:tab/>
      </w:r>
      <w:r w:rsidRPr="00E90746">
        <w:rPr>
          <w:rFonts w:ascii="Times New Roman" w:hAnsi="Times New Roman" w:cs="Times New Roman"/>
          <w:sz w:val="24"/>
          <w:szCs w:val="24"/>
        </w:rPr>
        <w:tab/>
      </w:r>
      <w:r w:rsidRPr="00E90746">
        <w:rPr>
          <w:rFonts w:ascii="Times New Roman" w:hAnsi="Times New Roman" w:cs="Times New Roman"/>
          <w:sz w:val="24"/>
          <w:szCs w:val="24"/>
        </w:rPr>
        <w:tab/>
      </w:r>
      <w:r w:rsidRPr="00E90746">
        <w:rPr>
          <w:rFonts w:ascii="Times New Roman" w:hAnsi="Times New Roman" w:cs="Times New Roman"/>
          <w:sz w:val="24"/>
          <w:szCs w:val="24"/>
        </w:rPr>
        <w:tab/>
      </w:r>
      <w:r w:rsidRPr="00E90746">
        <w:rPr>
          <w:rFonts w:ascii="Times New Roman" w:hAnsi="Times New Roman" w:cs="Times New Roman"/>
          <w:sz w:val="24"/>
          <w:szCs w:val="24"/>
        </w:rPr>
        <w:tab/>
      </w:r>
      <w:r w:rsidRPr="00E90746">
        <w:rPr>
          <w:rFonts w:ascii="Times New Roman" w:hAnsi="Times New Roman" w:cs="Times New Roman"/>
          <w:sz w:val="24"/>
          <w:szCs w:val="24"/>
        </w:rPr>
        <w:tab/>
      </w:r>
      <w:r w:rsidRPr="00E90746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F911F9" w:rsidRPr="00E90746" w:rsidRDefault="00F911F9" w:rsidP="00E90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1F9" w:rsidRPr="00653C60" w:rsidRDefault="00F911F9" w:rsidP="00F911F9">
      <w:pPr>
        <w:jc w:val="both"/>
        <w:rPr>
          <w:rFonts w:ascii="Times New Roman" w:hAnsi="Times New Roman"/>
          <w:sz w:val="24"/>
          <w:szCs w:val="24"/>
        </w:rPr>
      </w:pPr>
    </w:p>
    <w:p w:rsidR="00F911F9" w:rsidRPr="00653C60" w:rsidRDefault="00F911F9" w:rsidP="00F911F9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653C60">
        <w:rPr>
          <w:rFonts w:ascii="Times New Roman" w:hAnsi="Times New Roman"/>
          <w:sz w:val="24"/>
          <w:szCs w:val="24"/>
        </w:rPr>
        <w:tab/>
      </w:r>
      <w:r w:rsidR="00E90746">
        <w:rPr>
          <w:rFonts w:ascii="Times New Roman" w:hAnsi="Times New Roman"/>
          <w:sz w:val="24"/>
          <w:szCs w:val="24"/>
        </w:rPr>
        <w:t xml:space="preserve">      </w:t>
      </w:r>
      <w:bookmarkStart w:id="0" w:name="_GoBack"/>
      <w:bookmarkEnd w:id="0"/>
      <w:r w:rsidRPr="00653C60">
        <w:rPr>
          <w:rFonts w:ascii="Times New Roman" w:hAnsi="Times New Roman"/>
          <w:sz w:val="24"/>
          <w:szCs w:val="24"/>
        </w:rPr>
        <w:t xml:space="preserve">Burmistrz Miasta Sochaczew działając jako Zamawiający w postępowaniu prowadzonym w trybie przetargu nieograniczonego na </w:t>
      </w:r>
      <w:r w:rsidRPr="00653C60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166C07" w:rsidRPr="00C501E7">
        <w:rPr>
          <w:rFonts w:ascii="Times New Roman" w:hAnsi="Times New Roman"/>
          <w:b/>
        </w:rPr>
        <w:t>„</w:t>
      </w:r>
      <w:r w:rsidR="00166C07" w:rsidRPr="007F15E8">
        <w:rPr>
          <w:rFonts w:ascii="Times New Roman" w:hAnsi="Times New Roman"/>
          <w:b/>
          <w:szCs w:val="24"/>
        </w:rPr>
        <w:t xml:space="preserve">świadczenie usługi telefonii stacjonarnej wraz z zapewnieniem odpowiednich łączy (linii telefonicznych) dla jednostek organizacyjnych i jednoosobowych spółek miasta </w:t>
      </w:r>
      <w:r w:rsidR="00166C07">
        <w:rPr>
          <w:rFonts w:ascii="Times New Roman" w:hAnsi="Times New Roman"/>
          <w:b/>
          <w:szCs w:val="24"/>
        </w:rPr>
        <w:t>S</w:t>
      </w:r>
      <w:r w:rsidR="00166C07" w:rsidRPr="007F15E8">
        <w:rPr>
          <w:rFonts w:ascii="Times New Roman" w:hAnsi="Times New Roman"/>
          <w:b/>
          <w:szCs w:val="24"/>
        </w:rPr>
        <w:t>ochaczew</w:t>
      </w:r>
      <w:r w:rsidR="00166C07">
        <w:rPr>
          <w:rFonts w:ascii="Times New Roman" w:hAnsi="Times New Roman"/>
          <w:b/>
          <w:szCs w:val="24"/>
        </w:rPr>
        <w:t>”</w:t>
      </w:r>
      <w:r w:rsidRPr="00653C60">
        <w:rPr>
          <w:rFonts w:ascii="Times New Roman" w:hAnsi="Times New Roman"/>
          <w:sz w:val="24"/>
          <w:szCs w:val="24"/>
        </w:rPr>
        <w:t xml:space="preserve">,  informuje, iż wpłynęły następujące zapytania: </w:t>
      </w:r>
    </w:p>
    <w:p w:rsidR="00D539C1" w:rsidRP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rPr>
          <w:bCs/>
        </w:rPr>
        <w:t xml:space="preserve">Pytanie 1 </w:t>
      </w:r>
    </w:p>
    <w:p w:rsid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t xml:space="preserve">Prośba o potwierdzenie, że w przypadku wyboru oferty Wykonawcy prowadzącego działalność w formie spółki akcyjnej, część </w:t>
      </w:r>
      <w:proofErr w:type="spellStart"/>
      <w:r w:rsidRPr="00D539C1">
        <w:t>komparycyjna</w:t>
      </w:r>
      <w:proofErr w:type="spellEnd"/>
      <w:r w:rsidRPr="00D539C1">
        <w:t xml:space="preserve"> Umów poświęcona Operatorowi będzie obejmować wszelkie dane wymagane przez art. 374 § 1 </w:t>
      </w:r>
      <w:proofErr w:type="spellStart"/>
      <w:r w:rsidRPr="00D539C1">
        <w:t>Ksh</w:t>
      </w:r>
      <w:proofErr w:type="spellEnd"/>
      <w:r w:rsidRPr="00D539C1">
        <w:t>.</w:t>
      </w:r>
    </w:p>
    <w:p w:rsidR="00D539C1" w:rsidRPr="00D539C1" w:rsidRDefault="00D539C1" w:rsidP="00F911F9">
      <w:pPr>
        <w:pStyle w:val="NormalnyWeb"/>
        <w:spacing w:before="0" w:beforeAutospacing="0" w:after="0"/>
        <w:jc w:val="both"/>
        <w:rPr>
          <w:b/>
        </w:rPr>
      </w:pPr>
      <w:r w:rsidRPr="00D539C1">
        <w:rPr>
          <w:b/>
        </w:rPr>
        <w:t>Odpowiedź Zamawiającego:</w:t>
      </w:r>
    </w:p>
    <w:p w:rsidR="00D539C1" w:rsidRDefault="00D539C1" w:rsidP="00F911F9">
      <w:pPr>
        <w:pStyle w:val="NormalnyWeb"/>
        <w:spacing w:before="0" w:beforeAutospacing="0" w:after="0"/>
        <w:jc w:val="both"/>
      </w:pPr>
      <w:r>
        <w:t>Tak</w:t>
      </w:r>
    </w:p>
    <w:p w:rsidR="00166C07" w:rsidRPr="00D539C1" w:rsidRDefault="00166C07" w:rsidP="00F911F9">
      <w:pPr>
        <w:pStyle w:val="NormalnyWeb"/>
        <w:spacing w:before="0" w:beforeAutospacing="0" w:after="0"/>
        <w:jc w:val="both"/>
      </w:pPr>
    </w:p>
    <w:p w:rsidR="00D539C1" w:rsidRDefault="00D539C1" w:rsidP="00D539C1">
      <w:pPr>
        <w:pStyle w:val="NormalnyWeb"/>
        <w:spacing w:before="102" w:beforeAutospacing="0" w:line="278" w:lineRule="atLeast"/>
        <w:jc w:val="both"/>
        <w:rPr>
          <w:bCs/>
        </w:rPr>
      </w:pPr>
      <w:r w:rsidRPr="00D539C1">
        <w:rPr>
          <w:bCs/>
        </w:rPr>
        <w:t>Pytanie 2</w:t>
      </w:r>
    </w:p>
    <w:p w:rsid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t>Zamawiający w §  6 ust. 1 pkt 3  umowy przewidział obciążenie Wykonawcy karami umownymi za „opóźnienia” w realizacji poszczególnych postanowień umownych. Wykonawca zwraca się z prośbą o zastąpienie wyrażenia ,,opóźnienie” wyrażeniem ,,zwłoka”. Opóźnienie jest następstwem okoliczności, za które Wykonawca nie ponosi odpowiedzialności, natomiast „zwłoka” to kwalifikowane opóźnienie, którego dopuszcza się, tylko ten podmiot, który nie wykonał umowy w terminie z przyczyn, za które ponosi odpowiedzialność, czyli od niego zależnych. Zatem uzasadnieniem dla takiej zmiany jest potrzeba wykluczenia interpretacji, iż wykonawca będzie obciążony dotkliwymi sankcjami w postaci kar umownych i odstąpienia od umowy nawet w sytuacji, gdyby wykonanie lub nienależyte wykonanie umowy nastąpiło wskutek okoliczności niezależnych od wykonawcy (np. bezprawnych działań lub zaniechań osób trzecich)</w:t>
      </w:r>
    </w:p>
    <w:p w:rsidR="00D539C1" w:rsidRPr="00D539C1" w:rsidRDefault="00D539C1" w:rsidP="00F911F9">
      <w:pPr>
        <w:pStyle w:val="NormalnyWeb"/>
        <w:spacing w:before="0" w:beforeAutospacing="0" w:after="0"/>
        <w:jc w:val="both"/>
        <w:rPr>
          <w:b/>
        </w:rPr>
      </w:pPr>
      <w:r w:rsidRPr="00D539C1">
        <w:rPr>
          <w:b/>
        </w:rPr>
        <w:t>Odpowiedź Zamawiającego:</w:t>
      </w:r>
    </w:p>
    <w:p w:rsidR="00D539C1" w:rsidRPr="00D539C1" w:rsidRDefault="00D539C1" w:rsidP="00F911F9">
      <w:pPr>
        <w:pStyle w:val="NormalnyWeb"/>
        <w:spacing w:before="0" w:beforeAutospacing="0" w:after="0"/>
        <w:jc w:val="both"/>
      </w:pPr>
      <w:r>
        <w:t>Tak</w:t>
      </w:r>
    </w:p>
    <w:p w:rsidR="00D539C1" w:rsidRPr="00D539C1" w:rsidRDefault="00D539C1" w:rsidP="00D539C1">
      <w:pPr>
        <w:pStyle w:val="NormalnyWeb"/>
        <w:spacing w:before="102" w:beforeAutospacing="0" w:line="278" w:lineRule="atLeast"/>
        <w:jc w:val="both"/>
      </w:pPr>
    </w:p>
    <w:p w:rsidR="00D539C1" w:rsidRP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rPr>
          <w:bCs/>
        </w:rPr>
        <w:t>Pytanie 3</w:t>
      </w:r>
    </w:p>
    <w:p w:rsid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t>Czy Zamawiający wyraża zgodę na dodanie w treści</w:t>
      </w:r>
      <w:r w:rsidRPr="00D539C1">
        <w:rPr>
          <w:u w:val="single"/>
        </w:rPr>
        <w:t xml:space="preserve"> </w:t>
      </w:r>
      <w:r w:rsidRPr="00D539C1">
        <w:t xml:space="preserve">w §  6 ust.3  Umowy - Jeżeli szkoda poniesiona przez Zamawiającego będzie wyższa niż zastrzeżone w Umowie kary umowne, Zamawiający ma prawo do dochodzenia na zasadach ogólnych Kodeksu Cywilnego, odszkodowania przekraczającego wysokość kar umownych do wysokości rzeczywiście poniesionej szkody i utraconych korzyści, niezależnie od naliczonych kar umownych. - zapisu, wskazującego, że „W przypadku dochodzenia odszkodowania przewyższającego wysokość naliczonych kar umownych, łączna wysokość odszkodowania wraz z naliczonymi karami nie przekroczy całkowitej wartości umowy.” Wykonawca zwraca uwagę, że </w:t>
      </w:r>
      <w:r w:rsidRPr="00D539C1">
        <w:lastRenderedPageBreak/>
        <w:t>wskazanie maksymalnej odszkodowania umożliwia Wykonawcy oszacowanie ryzyka kontraktowego związanego z realizacją umowy.</w:t>
      </w:r>
    </w:p>
    <w:p w:rsidR="00D539C1" w:rsidRPr="00D539C1" w:rsidRDefault="00D539C1" w:rsidP="00F911F9">
      <w:pPr>
        <w:pStyle w:val="NormalnyWeb"/>
        <w:spacing w:before="0" w:beforeAutospacing="0" w:after="0"/>
        <w:jc w:val="both"/>
        <w:rPr>
          <w:b/>
        </w:rPr>
      </w:pPr>
      <w:r w:rsidRPr="00D539C1">
        <w:rPr>
          <w:b/>
        </w:rPr>
        <w:t>Odpowiedź Zamawiającego:</w:t>
      </w:r>
    </w:p>
    <w:p w:rsidR="00D539C1" w:rsidRPr="00D539C1" w:rsidRDefault="00D539C1" w:rsidP="00F911F9">
      <w:pPr>
        <w:pStyle w:val="NormalnyWeb"/>
        <w:spacing w:before="0" w:beforeAutospacing="0" w:after="0"/>
        <w:jc w:val="both"/>
      </w:pPr>
      <w:r>
        <w:t>Tak</w:t>
      </w:r>
    </w:p>
    <w:p w:rsidR="00D539C1" w:rsidRPr="00D539C1" w:rsidRDefault="00D539C1" w:rsidP="00D539C1">
      <w:pPr>
        <w:pStyle w:val="NormalnyWeb"/>
        <w:spacing w:before="102" w:beforeAutospacing="0" w:line="278" w:lineRule="atLeast"/>
        <w:jc w:val="both"/>
      </w:pPr>
    </w:p>
    <w:p w:rsidR="00D539C1" w:rsidRP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rPr>
          <w:bCs/>
        </w:rPr>
        <w:t>Pytanie 4</w:t>
      </w:r>
    </w:p>
    <w:p w:rsid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t>Czy Regulamin świadczenia usług będzie obowiązywał w zakresie nieuregulowanym i niesprzecznym z umową ?</w:t>
      </w:r>
    </w:p>
    <w:p w:rsidR="00F911F9" w:rsidRPr="00D539C1" w:rsidRDefault="00F911F9" w:rsidP="00F911F9">
      <w:pPr>
        <w:pStyle w:val="NormalnyWeb"/>
        <w:spacing w:before="0" w:beforeAutospacing="0" w:after="0"/>
        <w:jc w:val="both"/>
        <w:rPr>
          <w:b/>
        </w:rPr>
      </w:pPr>
      <w:r w:rsidRPr="00D539C1">
        <w:rPr>
          <w:b/>
        </w:rPr>
        <w:t>Odpowiedź Zamawiającego:</w:t>
      </w:r>
    </w:p>
    <w:p w:rsidR="00F911F9" w:rsidRPr="00D539C1" w:rsidRDefault="00F911F9" w:rsidP="00F911F9">
      <w:pPr>
        <w:pStyle w:val="NormalnyWeb"/>
        <w:spacing w:before="0" w:beforeAutospacing="0" w:after="0"/>
        <w:jc w:val="both"/>
      </w:pPr>
      <w:r>
        <w:t>Tak</w:t>
      </w:r>
    </w:p>
    <w:p w:rsidR="00F911F9" w:rsidRPr="00D539C1" w:rsidRDefault="00F911F9" w:rsidP="00D539C1">
      <w:pPr>
        <w:pStyle w:val="NormalnyWeb"/>
        <w:spacing w:before="102" w:beforeAutospacing="0" w:line="278" w:lineRule="atLeast"/>
        <w:jc w:val="both"/>
      </w:pPr>
    </w:p>
    <w:p w:rsidR="00D539C1" w:rsidRP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t>Do OPZ:</w:t>
      </w:r>
    </w:p>
    <w:p w:rsidR="00D539C1" w:rsidRP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rPr>
          <w:bCs/>
        </w:rPr>
        <w:t>Pytanie 5</w:t>
      </w:r>
    </w:p>
    <w:p w:rsidR="00D539C1" w:rsidRP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t>Czy w ramach tej numeracji Wykonawca może świadczyć usługi na łączach telefonii miedzianej PSTN zamiast na VOIP?</w:t>
      </w:r>
    </w:p>
    <w:p w:rsidR="00F911F9" w:rsidRPr="00D539C1" w:rsidRDefault="00F911F9" w:rsidP="00F911F9">
      <w:pPr>
        <w:pStyle w:val="NormalnyWeb"/>
        <w:spacing w:before="102" w:beforeAutospacing="0" w:line="278" w:lineRule="atLeast"/>
        <w:jc w:val="both"/>
        <w:rPr>
          <w:b/>
        </w:rPr>
      </w:pPr>
      <w:r w:rsidRPr="00D539C1">
        <w:rPr>
          <w:b/>
        </w:rPr>
        <w:t>Odpowiedź Zamawiającego:</w:t>
      </w:r>
    </w:p>
    <w:p w:rsidR="00D539C1" w:rsidRP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rPr>
          <w:bCs/>
        </w:rPr>
        <w:t xml:space="preserve">Zamawiający dopuszcza taką możliwość pod warunkiem wcześniejszego sprawdzenia możliwości technicznych </w:t>
      </w:r>
      <w:r w:rsidRPr="00D539C1">
        <w:rPr>
          <w:bCs/>
        </w:rPr>
        <w:br/>
        <w:t>w tym zakresie, a wszelkie zmiany z tym związane nie będą wiązały się z poniesieniem jakichkolwiek kosztów przez Zamawiającego. Jednocześnie tylko wówczas gdy świadczenie usług na łączach telefonii miedzianej gwarantuje ciągłość, bezawaryjność i taką samą jakość jak dotychczas lub wyższą wszystkich wymaganych usług telekomunikacyjnych a także z możliwością współpracy z istniejącymi urządzeniami i centralami zainstalowanymi u Zamawiającego, a zmiana powyższa nie będzie się wiązać z pogorszeniem jakości usług lub koniecznością ich wymiany po stronie Zamawiającego.</w:t>
      </w:r>
    </w:p>
    <w:p w:rsidR="00D539C1" w:rsidRP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rPr>
          <w:bCs/>
        </w:rPr>
        <w:t>Pytanie 6</w:t>
      </w:r>
    </w:p>
    <w:p w:rsidR="00D539C1" w:rsidRP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t>Czy Wykonawcza może przenieść wszystkie usługi do VOIP?</w:t>
      </w:r>
    </w:p>
    <w:p w:rsidR="00F911F9" w:rsidRPr="00D539C1" w:rsidRDefault="00F911F9" w:rsidP="00F911F9">
      <w:pPr>
        <w:pStyle w:val="NormalnyWeb"/>
        <w:spacing w:before="0" w:beforeAutospacing="0" w:after="0"/>
        <w:jc w:val="both"/>
        <w:rPr>
          <w:b/>
        </w:rPr>
      </w:pPr>
      <w:r w:rsidRPr="00D539C1">
        <w:rPr>
          <w:b/>
        </w:rPr>
        <w:t>Odpowiedź Zamawiającego:</w:t>
      </w:r>
    </w:p>
    <w:p w:rsidR="00D539C1" w:rsidRPr="00D539C1" w:rsidRDefault="00D539C1" w:rsidP="00F911F9">
      <w:pPr>
        <w:pStyle w:val="NormalnyWeb"/>
        <w:spacing w:before="0" w:beforeAutospacing="0" w:after="0"/>
        <w:jc w:val="both"/>
      </w:pPr>
      <w:r w:rsidRPr="00D539C1">
        <w:rPr>
          <w:bCs/>
        </w:rPr>
        <w:t>Zamawiający dopuszcza taką możliwość pod warunkiem:</w:t>
      </w:r>
    </w:p>
    <w:p w:rsidR="00D539C1" w:rsidRP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rPr>
          <w:bCs/>
        </w:rPr>
        <w:t>- wcześniejszego sprawdzenia możliwości technicznych w tym zakresie, a wszelkie zmiany z tym związane nie będą wiązały się z poniesieniem jakichkolwiek kosztów przez Zamawiającego,</w:t>
      </w:r>
    </w:p>
    <w:p w:rsidR="00D539C1" w:rsidRP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rPr>
          <w:bCs/>
        </w:rPr>
        <w:t>- że Wykonawca zapewni warunki, które są niezbędne do prawidłowego działania usług telekomunikacyjnych w tym zakresie a parametry, funkcjonalność i jakość tych usług będą takie same jak dotychczas lub wyższe,</w:t>
      </w:r>
    </w:p>
    <w:p w:rsidR="00D539C1" w:rsidRP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rPr>
          <w:bCs/>
        </w:rPr>
        <w:t>- jeżeli będą mogły być zrealizowane wszystkie wymagane usługi i będzie zagwarantowane poprawne, bezpieczne i bezawaryjne świadczenie wszystkich usług telekomunikacyjnych,</w:t>
      </w:r>
    </w:p>
    <w:p w:rsidR="00D539C1" w:rsidRP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rPr>
          <w:bCs/>
        </w:rPr>
        <w:t>- że będzie współpracować z istniejącymi urządzeniami i centralami zainstalowanymi u Zamawiającego, a zmiana powyższa nie będzie się wiązać z pogorszeniem jakości usług lub koniecznością ich wymiany po stronie Zamawiającego.</w:t>
      </w:r>
    </w:p>
    <w:p w:rsidR="00D539C1" w:rsidRP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rPr>
          <w:bCs/>
        </w:rPr>
        <w:t>Pytanie 7</w:t>
      </w:r>
    </w:p>
    <w:p w:rsidR="00D539C1" w:rsidRP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lastRenderedPageBreak/>
        <w:t>Zamawiający wskazuje konkretne technologie dla dostarczenia numeracji telefonicznej (PSTN,ISDN, VoIP, e-fax) z docelowym interfejsem.</w:t>
      </w:r>
    </w:p>
    <w:p w:rsidR="00F911F9" w:rsidRPr="00D539C1" w:rsidRDefault="00F911F9" w:rsidP="00F911F9">
      <w:pPr>
        <w:pStyle w:val="NormalnyWeb"/>
        <w:spacing w:before="0" w:beforeAutospacing="0" w:after="0"/>
        <w:jc w:val="both"/>
        <w:rPr>
          <w:b/>
        </w:rPr>
      </w:pPr>
      <w:r w:rsidRPr="00D539C1">
        <w:rPr>
          <w:b/>
        </w:rPr>
        <w:t>Odpowiedź Zamawiającego:</w:t>
      </w:r>
    </w:p>
    <w:p w:rsidR="00D539C1" w:rsidRPr="00D539C1" w:rsidRDefault="00D539C1" w:rsidP="00F911F9">
      <w:pPr>
        <w:pStyle w:val="NormalnyWeb"/>
        <w:spacing w:before="0" w:beforeAutospacing="0" w:after="0"/>
        <w:jc w:val="both"/>
      </w:pPr>
      <w:r w:rsidRPr="00D539C1">
        <w:rPr>
          <w:bCs/>
        </w:rPr>
        <w:t xml:space="preserve">Zamawiający przedstawił dla ułatwienia wykaz istniejących technologii dla dostarczenia numeracji technicznej z docelowym interfejsem w poszczególnych jednostkach organizacyjnych i jednoosobowych spółkach miasta Sochaczew. </w:t>
      </w:r>
    </w:p>
    <w:p w:rsidR="00D539C1" w:rsidRP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t>Czy Zamawiający zgodzi się na zmianę technologii dla wszystkich wskazanych numerów lub wskaże ewentualne wyjątki jak wskazanie numerów pod system monitorujący?</w:t>
      </w:r>
    </w:p>
    <w:p w:rsidR="00F911F9" w:rsidRPr="00D539C1" w:rsidRDefault="00F911F9" w:rsidP="00F911F9">
      <w:pPr>
        <w:pStyle w:val="NormalnyWeb"/>
        <w:spacing w:before="0" w:beforeAutospacing="0" w:after="0"/>
        <w:jc w:val="both"/>
        <w:rPr>
          <w:b/>
        </w:rPr>
      </w:pPr>
      <w:r w:rsidRPr="00D539C1">
        <w:rPr>
          <w:b/>
        </w:rPr>
        <w:t>Odpowiedź Zamawiającego:</w:t>
      </w:r>
    </w:p>
    <w:p w:rsidR="00D539C1" w:rsidRPr="00D539C1" w:rsidRDefault="00D539C1" w:rsidP="00F911F9">
      <w:pPr>
        <w:pStyle w:val="NormalnyWeb"/>
        <w:spacing w:before="0" w:beforeAutospacing="0" w:after="0"/>
        <w:jc w:val="both"/>
      </w:pPr>
      <w:r w:rsidRPr="00D539C1">
        <w:rPr>
          <w:bCs/>
        </w:rPr>
        <w:t>Zamawiający dopuszcza taką możliwość pod warunkiem:</w:t>
      </w:r>
    </w:p>
    <w:p w:rsidR="00D539C1" w:rsidRPr="00D539C1" w:rsidRDefault="00D539C1" w:rsidP="00F911F9">
      <w:pPr>
        <w:pStyle w:val="NormalnyWeb"/>
        <w:spacing w:before="0" w:beforeAutospacing="0" w:after="0"/>
        <w:jc w:val="both"/>
      </w:pPr>
      <w:r w:rsidRPr="00D539C1">
        <w:rPr>
          <w:bCs/>
        </w:rPr>
        <w:t>- wcześniejszego sprawdzenia możliwości technicznych w tym zakresie, a wszelkie zmiany z tym związane nie będą wiązały się z poniesieniem jakichkolwiek kosztów przez Zamawiającego,</w:t>
      </w:r>
    </w:p>
    <w:p w:rsidR="00D539C1" w:rsidRP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rPr>
          <w:bCs/>
        </w:rPr>
        <w:t>- że Wykonawca zapewni warunki, które są niezbędne do prawidłowego działania usług telekomunikacyjnych w tym zakresie a parametry, funkcjonalność i jakość tych usług będą takie same jak dotychczas lub wyższe,</w:t>
      </w:r>
    </w:p>
    <w:p w:rsidR="00D539C1" w:rsidRP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rPr>
          <w:bCs/>
        </w:rPr>
        <w:t>- jeżeli będą mogły być zrealizowane wszystkie wymagane usługi i będzie zagwarantowane poprawne, bezpieczne i bezawaryjne świadczenie wszystkich usług telekomunikacyjnych,</w:t>
      </w:r>
    </w:p>
    <w:p w:rsidR="00D539C1" w:rsidRP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rPr>
          <w:bCs/>
        </w:rPr>
        <w:t>- że będzie współpracować z istniejącymi urządzeniami i centralami zainstalowanymi u Zamawiającego, a zmiana powyższa nie będzie się wiązać z pogorszeniem jakości usług lub koniecznością ich wymiany po stronie Zamawiającego.</w:t>
      </w:r>
    </w:p>
    <w:p w:rsidR="00D539C1" w:rsidRPr="00D539C1" w:rsidRDefault="00D539C1" w:rsidP="00D539C1">
      <w:pPr>
        <w:pStyle w:val="NormalnyWeb"/>
        <w:spacing w:before="102" w:beforeAutospacing="0" w:line="278" w:lineRule="atLeast"/>
        <w:jc w:val="both"/>
      </w:pPr>
      <w:r w:rsidRPr="00D539C1">
        <w:t>A w związku z powyższym, czy Zamawiający dokona wskazania dla urządzeń typu PABX – w opisie centralka, jaka numeracja uruchomiona jest po stronie abonenckiej, z jakim interfejsem i technologią, jaki terminal?</w:t>
      </w:r>
    </w:p>
    <w:p w:rsidR="00F911F9" w:rsidRPr="00D539C1" w:rsidRDefault="00F911F9" w:rsidP="00F911F9">
      <w:pPr>
        <w:pStyle w:val="NormalnyWeb"/>
        <w:spacing w:before="0" w:beforeAutospacing="0" w:after="0"/>
        <w:jc w:val="both"/>
        <w:rPr>
          <w:b/>
        </w:rPr>
      </w:pPr>
      <w:r w:rsidRPr="00D539C1">
        <w:rPr>
          <w:b/>
        </w:rPr>
        <w:t>Odpowiedź Zamawiającego:</w:t>
      </w:r>
    </w:p>
    <w:p w:rsidR="00D539C1" w:rsidRPr="00D539C1" w:rsidRDefault="00D539C1" w:rsidP="00F911F9">
      <w:pPr>
        <w:pStyle w:val="NormalnyWeb"/>
        <w:spacing w:before="0" w:beforeAutospacing="0" w:after="0"/>
        <w:jc w:val="both"/>
      </w:pPr>
      <w:r w:rsidRPr="00D539C1">
        <w:rPr>
          <w:bCs/>
        </w:rPr>
        <w:t xml:space="preserve">Zamawiający przedstawił wykaz istniejących technologii dla dostarczenia numeracji technicznej z docelowym interfejsem w poszczególnych jednostkach. Jednocześnie zawarł w SIWZ informację, iż w celu umożliwienia świadczenia usług telefonii stacjonarnej Oferent winien przed złożeniem oferty sprawdzić techniczne możliwości zapewnienia odpowiednich łączy (linii telefonicznych) we wszystkich jednostkach organizacyjnych i jednoosobowych spółkach miasta Sochaczew. </w:t>
      </w:r>
    </w:p>
    <w:p w:rsidR="00D539C1" w:rsidRDefault="00D539C1"/>
    <w:p w:rsidR="00166C07" w:rsidRPr="00166C07" w:rsidRDefault="00166C07" w:rsidP="00166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6C07">
        <w:rPr>
          <w:rFonts w:ascii="Times New Roman" w:hAnsi="Times New Roman" w:cs="Times New Roman"/>
          <w:b/>
          <w:sz w:val="24"/>
          <w:szCs w:val="24"/>
        </w:rPr>
        <w:t>Pytanie 8</w:t>
      </w:r>
    </w:p>
    <w:p w:rsidR="00166C07" w:rsidRPr="00166C07" w:rsidRDefault="00166C07" w:rsidP="00166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C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Dot. Tabela nr 3 - Lista numerów telefonii stacjonarnej Czy Zamawiający rezygnuje z posiadanych aktualnie trzech numerów analogowych w Szkole Podstawowej Nr 4 z Oddziałami Integracyjnymi im. Janusza Korczaka (pozycja 7 w tabeli) oraz z jednego numeru analogowego w Sochaczewskim Centrum Kultury (pozycja 21 w tabeli)? Ww. numery nie pojawiły się w specyfikacji warunków zamówienia. </w:t>
      </w:r>
    </w:p>
    <w:p w:rsidR="00166C07" w:rsidRPr="00166C07" w:rsidRDefault="00166C07" w:rsidP="00166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6C07">
        <w:rPr>
          <w:rFonts w:ascii="Times New Roman" w:hAnsi="Times New Roman" w:cs="Times New Roman"/>
          <w:b/>
          <w:sz w:val="24"/>
          <w:szCs w:val="24"/>
        </w:rPr>
        <w:t xml:space="preserve">Odpowiedź Zamawiającego: </w:t>
      </w:r>
    </w:p>
    <w:p w:rsidR="00166C07" w:rsidRPr="00166C07" w:rsidRDefault="00166C07" w:rsidP="0016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C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informuje, iż numery analogowe: </w:t>
      </w:r>
    </w:p>
    <w:p w:rsidR="00166C07" w:rsidRPr="00166C07" w:rsidRDefault="00166C07" w:rsidP="0016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C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46 861 79 49 (PSTN (RJ21) z przeznaczeniem na tel./Internet, </w:t>
      </w:r>
    </w:p>
    <w:p w:rsidR="00166C07" w:rsidRPr="00166C07" w:rsidRDefault="00166C07" w:rsidP="0016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C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46 862 54 18 (PSTN) z przeznaczeniem na tel./fax/Internet, </w:t>
      </w:r>
    </w:p>
    <w:p w:rsidR="00166C07" w:rsidRPr="00166C07" w:rsidRDefault="00166C07" w:rsidP="0016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C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46 862 58 24 (PSTN) z przeznaczeniem na tel./Internet </w:t>
      </w:r>
    </w:p>
    <w:p w:rsidR="00166C07" w:rsidRPr="00166C07" w:rsidRDefault="00166C07" w:rsidP="00166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C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należące do Szkoły Podstawowej Nr 4 z oddziałami Integracyjnymi im. Janusza Korczaka proszę dodać do specyfikacji oraz uwzględnić w kalkulacji cenowej. Obecny Operator to firma </w:t>
      </w:r>
      <w:proofErr w:type="spellStart"/>
      <w:r w:rsidRPr="00166C07">
        <w:rPr>
          <w:rFonts w:ascii="Times New Roman" w:eastAsia="Times New Roman" w:hAnsi="Times New Roman" w:cs="Times New Roman"/>
          <w:sz w:val="24"/>
          <w:szCs w:val="24"/>
          <w:lang w:eastAsia="pl-PL"/>
        </w:rPr>
        <w:t>Telestrada</w:t>
      </w:r>
      <w:proofErr w:type="spellEnd"/>
      <w:r w:rsidRPr="00166C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S.A., data zakończenia Umowy – 30.09.2019 r..</w:t>
      </w:r>
    </w:p>
    <w:p w:rsidR="00166C07" w:rsidRPr="00166C07" w:rsidRDefault="00166C07" w:rsidP="00166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6C07" w:rsidRPr="00166C07" w:rsidRDefault="00166C07" w:rsidP="00166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C07">
        <w:rPr>
          <w:rFonts w:ascii="Times New Roman" w:eastAsia="Times New Roman" w:hAnsi="Times New Roman" w:cs="Times New Roman"/>
          <w:sz w:val="24"/>
          <w:szCs w:val="24"/>
          <w:lang w:eastAsia="pl-PL"/>
        </w:rPr>
        <w:t>Sochaczewskie Centrum Kultury w Sochaczewie rezygnuje z aktualnie posiadanego jednego numeru analogowego tj. 46 863 26 72 po zakończeniu obowiązywania Umowy z dnia 31.03.2017 r..</w:t>
      </w:r>
    </w:p>
    <w:p w:rsidR="00166C07" w:rsidRDefault="00166C07" w:rsidP="00166C07">
      <w:pPr>
        <w:jc w:val="both"/>
      </w:pPr>
    </w:p>
    <w:sectPr w:rsidR="00166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18D9"/>
    <w:multiLevelType w:val="multilevel"/>
    <w:tmpl w:val="E542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C1"/>
    <w:rsid w:val="00166C07"/>
    <w:rsid w:val="00247AFE"/>
    <w:rsid w:val="00D539C1"/>
    <w:rsid w:val="00E90746"/>
    <w:rsid w:val="00F9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39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39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1076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2</cp:revision>
  <dcterms:created xsi:type="dcterms:W3CDTF">2019-08-02T11:11:00Z</dcterms:created>
  <dcterms:modified xsi:type="dcterms:W3CDTF">2019-08-02T11:35:00Z</dcterms:modified>
</cp:coreProperties>
</file>