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813E82" w:rsidP="003370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 dnia </w:t>
      </w:r>
      <w:r w:rsidR="00F81AC1">
        <w:rPr>
          <w:rFonts w:ascii="Times New Roman" w:hAnsi="Times New Roman"/>
          <w:sz w:val="24"/>
          <w:szCs w:val="24"/>
        </w:rPr>
        <w:t>20</w:t>
      </w:r>
      <w:r w:rsidR="00281BAE" w:rsidRPr="00281BAE">
        <w:rPr>
          <w:rFonts w:ascii="Times New Roman" w:hAnsi="Times New Roman"/>
          <w:sz w:val="24"/>
          <w:szCs w:val="24"/>
        </w:rPr>
        <w:t xml:space="preserve">.04.2018 r. </w:t>
      </w:r>
    </w:p>
    <w:p w:rsidR="00281BAE" w:rsidRPr="00281BAE" w:rsidRDefault="00281BAE" w:rsidP="003370E3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 w:rsidR="00F81AC1">
        <w:rPr>
          <w:rFonts w:ascii="Times New Roman" w:hAnsi="Times New Roman"/>
          <w:sz w:val="24"/>
          <w:szCs w:val="24"/>
        </w:rPr>
        <w:t>10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281BAE" w:rsidRDefault="00370B67" w:rsidP="003370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 w:rsidP="003370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 w:rsidP="003370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 w:rsidP="003370E3">
      <w:pPr>
        <w:rPr>
          <w:rFonts w:ascii="Times New Roman" w:hAnsi="Times New Roman"/>
          <w:sz w:val="24"/>
          <w:szCs w:val="24"/>
        </w:rPr>
      </w:pPr>
    </w:p>
    <w:p w:rsidR="00281BAE" w:rsidRPr="00281BAE" w:rsidRDefault="00CC10AA" w:rsidP="003370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81BAE"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="00281BAE" w:rsidRPr="00281BAE">
        <w:rPr>
          <w:rFonts w:ascii="Times New Roman" w:hAnsi="Times New Roman"/>
          <w:b/>
          <w:sz w:val="24"/>
          <w:szCs w:val="24"/>
        </w:rPr>
        <w:t>„Zagospodarowanie terenów nad Bzurą w Sochaczewie - etap II – wyeksponowanie walorów historyczno – kulturowych miasta</w:t>
      </w:r>
      <w:r w:rsidR="00281BAE"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="00281BAE"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="00281BAE"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="00281BAE"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="00281BAE"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Default="00281BAE" w:rsidP="003370E3">
      <w:pPr>
        <w:rPr>
          <w:rFonts w:ascii="Times New Roman" w:hAnsi="Times New Roman"/>
          <w:sz w:val="24"/>
          <w:szCs w:val="24"/>
        </w:rPr>
      </w:pPr>
    </w:p>
    <w:p w:rsidR="00932470" w:rsidRPr="00932470" w:rsidRDefault="00932470" w:rsidP="00932470">
      <w:pPr>
        <w:rPr>
          <w:rFonts w:ascii="Times New Roman" w:eastAsia="Calibri" w:hAnsi="Times New Roman"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bookmarkStart w:id="0" w:name="_Hlk508096622"/>
      <w:r w:rsidRPr="00932470">
        <w:rPr>
          <w:rFonts w:ascii="Times New Roman" w:eastAsia="Calibri" w:hAnsi="Times New Roman"/>
          <w:sz w:val="24"/>
          <w:szCs w:val="24"/>
        </w:rPr>
        <w:t>W odpowiedzi nr 4 z dnia 13.04.2018 r. znajduje się informacja o zamieszczeniu poprawionego przedmiaru PR_I_A, jednak ww. przedmiar nie został zamieszczony na stronie internetowej Zamawiającego. Prosimy o wyjaśnienie.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wyraża zgodę na wykreślenie z przedmiaru robót PR_I_A poz. 19 d.3 – wzmocnienie konstrukcji </w:t>
      </w:r>
      <w:proofErr w:type="spellStart"/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geosyntetykami</w:t>
      </w:r>
      <w:proofErr w:type="spellEnd"/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, wysokość nasypu 5-8 cm – w ilości 1700 m³.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>W związku z uzupełnieniem dnia 10.04.2018 r. materiałów przetargowych o rysunki projektu wykonawczego branży drogowej dla Części I, prosimy o wyjaśnienie: w przedmiarze robót (poz. 57 i 58) jest nawierzchnia ze żwiru płukanego 16/32mm, która nie występuje ani na rys. D_I_PW_01 Plan sytuacyjny, ani na rys. D_I_PW_02 Przekroje konstrukcyjne – czy ww. nawierzchnia jest w zakresie zamówienia?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przekazanych przekrojach konstrukcyjnych dla etapu I jest ujęty plac z kruszywa ze żwiru płukanego (przekrój A-A) na rysunki nie ma go w   legendzie  zatem  w  przesłanym  przedmiarze  robót  pozycja i wartość jest poprawna.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 xml:space="preserve">W związku z uzupełnieniem dnia 10.04.2018 r. materiałów przetargowych o rysunki projektu wykonawczego branży drogowej dla Części I, prosimy o wyjaśnienie: zdaniem Wykonawcy dla nawierzchni betonowej o grubości 19 cm (droga manewrowa i miejsca postojowe) podano za małe ilości podbudowy z chudego betonu oraz podbudowy z </w:t>
      </w:r>
      <w:r w:rsidRPr="00932470">
        <w:rPr>
          <w:rFonts w:ascii="Times New Roman" w:eastAsia="Calibri" w:hAnsi="Times New Roman"/>
          <w:sz w:val="24"/>
          <w:szCs w:val="24"/>
        </w:rPr>
        <w:lastRenderedPageBreak/>
        <w:t>kruszywa stabilizowanego cementem – bez odsadzek. Ze względu na ryczałtowe rozliczenie, prosimy o wskazanie właściwej ilości.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   Części   I dla   Etap I powierzchnia drogi manewrowej i miejsca postojowe 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nawierzchni betonowej KR-2 -   warstwa   ścieralna   z  betonu  cementowego  C25/30  (</w:t>
      </w:r>
      <w:proofErr w:type="spellStart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dylatowana</w:t>
      </w:r>
      <w:proofErr w:type="spellEnd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proofErr w:type="spellStart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dyblowana</w:t>
      </w:r>
      <w:proofErr w:type="spellEnd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), grubość 19 cm  -401m²,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- podbudowa, chudy beton cementowy C8/10, grubość 13 cm -413m²,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-  wzmocnienie  podłoża  gruntowego,  kruszywo  stabilizowane cementem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proofErr w:type="spellStart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Rm</w:t>
      </w:r>
      <w:proofErr w:type="spellEnd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=2.5 </w:t>
      </w:r>
      <w:proofErr w:type="spellStart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MPa</w:t>
      </w:r>
      <w:proofErr w:type="spellEnd"/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grubość 30 cm - 444m².</w:t>
      </w: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>W związku z uzupełnieniem dnia 10.04.2018 r. materiałów przetargowych o rysunki projektu wykonawczego branży drogowej dla Części I, prosimy o wyjaśnienie: zdaniem Wykonawcy dla nawierzchni zielonej dostosowanej do ruchu samochodowego podano za małe ilości podbudowy z kruszywa łam. o ciągłym uziarnieniu oraz kruszywa stabilizowanego cementem – bez odsadzek (dla dojścia do drogi pożarowej). Ze względu na ryczałtowe rozliczenie, prosimy o wskazanie właściwej ilości.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W  Części   I  dla    Etap I powierzchnia nawierzchni zielonej dostosowanej do ruchu samochodowego ( droga p.poż):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 xml:space="preserve">- kratka z tworzywa sztucznego wypełniona ziemią kompostową, grubość 5 cm, 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-126 m²,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-  warstwa  wyrównująca  –  mieszanka  grysu i piasku, grubość 3-5 cm,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-  126,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 xml:space="preserve"> - warstwa nośna – zagęszczona mieszanka żwirowa, grubość 55 cm  - 142m²,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 xml:space="preserve">- wzmocnienie  podłoża  gruntowego,  kruszywo  stabilizowane cementem </w:t>
      </w:r>
      <w:proofErr w:type="spellStart"/>
      <w:r w:rsidRPr="00932470">
        <w:rPr>
          <w:rFonts w:ascii="Times New Roman" w:eastAsia="Calibri" w:hAnsi="Times New Roman"/>
          <w:b/>
          <w:bCs/>
          <w:sz w:val="24"/>
          <w:szCs w:val="24"/>
        </w:rPr>
        <w:t>Rm</w:t>
      </w:r>
      <w:proofErr w:type="spellEnd"/>
      <w:r w:rsidRPr="00932470">
        <w:rPr>
          <w:rFonts w:ascii="Times New Roman" w:eastAsia="Calibri" w:hAnsi="Times New Roman"/>
          <w:b/>
          <w:bCs/>
          <w:sz w:val="24"/>
          <w:szCs w:val="24"/>
        </w:rPr>
        <w:t xml:space="preserve">=2.5 </w:t>
      </w:r>
      <w:proofErr w:type="spellStart"/>
      <w:r w:rsidRPr="00932470">
        <w:rPr>
          <w:rFonts w:ascii="Times New Roman" w:eastAsia="Calibri" w:hAnsi="Times New Roman"/>
          <w:b/>
          <w:bCs/>
          <w:sz w:val="24"/>
          <w:szCs w:val="24"/>
        </w:rPr>
        <w:t>MPa</w:t>
      </w:r>
      <w:proofErr w:type="spellEnd"/>
      <w:r w:rsidRPr="00932470">
        <w:rPr>
          <w:rFonts w:ascii="Times New Roman" w:eastAsia="Calibri" w:hAnsi="Times New Roman"/>
          <w:b/>
          <w:bCs/>
          <w:sz w:val="24"/>
          <w:szCs w:val="24"/>
        </w:rPr>
        <w:t>, grubość 15 cm - 155m².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>W związku z uzupełnieniem dnia 10.04.2018 r. materiałów przetargowych o rysunki projektu wykonawczego branży drogowej dla Części I, prosimy o wyjaśnienie: zdaniem Wykonawcy dla nawierzchni miejsc postojowych z kostki betonowej podano za małe ilości podbudowy z kruszywa stabilizowanego cementem (występuje równie pod krawężnikami). Ze względu na ryczałtowe rozliczenie, prosimy o wskazanie właściwej ilości.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lastRenderedPageBreak/>
        <w:t>W  Części  I  dla  Etap I powierzchnia miejsc postojowych z kostki betonowej: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- warstwa ścieralna z kostki betonowej, grubość 8 cm,  -237m²,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- podsypka cementowo-piaskowa, grubość 3 cm,  -237m²,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- podbudowa z kruszywa łamanego o frakcji 0/31.5, grubość 25 cm,  237m²,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-  wzmocnienie  podłoża  gruntowego,  kruszywo stabilizowane cementem, grubość 25 cm  -262m².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>W związku z uzupełnieniem dnia 10.04.2018 r. materiałów przetargowych o rys. D_I_PW_01 Plan sytuacyjny, prosimy o wyjaśnienie: zgodnie z przedmiarem robót Nawierzchnia z płyt betonowych 50x50x10 cm to 43 m2, natomiast zgodnie z rys. D_I_PW_01 powierzchnia ww. nawierzchni to ok. 125 m2. Ze względu na ryczałtowe rozliczenie, prosimy o wskazanie właściwej ilości.</w:t>
      </w: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W  związku błędem pokazanie w legendzie nawierzchnia z płyt betonowych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jest poprawna i wynosi 43m².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>W związku z uzupełnieniem dnia 10.04.2018 r. materiałów przetargowych o rys. D_I_PW_01 Plan sytuacyjny, prosimy o wyjaśnienie: w przedmiarze robót PR_I_S w poz. 15 występuje odwodnienie liniowe 88,5 m, natomiast zgodnie z rys. D_I_PW_01 odwodnienie liniowe ma długość ok. 660 m. Ze względu na ryczałtowe rozliczenie, prosimy o wskazanie właściwej ilości.</w:t>
      </w:r>
    </w:p>
    <w:p w:rsidR="00932470" w:rsidRPr="00932470" w:rsidRDefault="00932470" w:rsidP="00932470">
      <w:pPr>
        <w:autoSpaceDN w:val="0"/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after="200"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 xml:space="preserve">Długość odwodnienia liniowego w przedmiarze branży sanitarnej jest prawidłowa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 xml:space="preserve">– zawarta w pozycjach nr d.1.2.15 (odwodnienie liniowe) oraz d.1.2.16 (ścieki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z prefabrykatów betonowych). Oznaczenie na rysunku branży drogowej (D_I_PW_01) „odwodnienie liniowe“ obejmuje obie te pozycje.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 xml:space="preserve">W związku z uzupełnieniem dnia 10.04.2018 r. materiałów przetargowych o rys. D_I_PW_01 Plan sytuacyjny, prosimy o wyjaśnienie: organizacja ruchu: część zakresu oznakowania poziomego i pionowego uwzględniono zarówno na rys. D_I_PW_01 (część I zamówienia), jak i na rys. D_II_PW_01 (część IV zamówienia, etap II) – wskazane poniżej. Ze względu na fakt, że część I </w:t>
      </w:r>
      <w:proofErr w:type="spellStart"/>
      <w:r w:rsidRPr="00932470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932470">
        <w:rPr>
          <w:rFonts w:ascii="Times New Roman" w:eastAsia="Calibri" w:hAnsi="Times New Roman"/>
          <w:sz w:val="24"/>
          <w:szCs w:val="24"/>
        </w:rPr>
        <w:t xml:space="preserve"> część IV zamówienia mogą być realizowane przez różnych wykonawców, prosimy o wskazanie jednej części zamówienia, dla której należy wykonać niżej wskazane elementy oznakowania poziomego i pionowego oraz odpowiednią modyfikację przedmiarów.</w:t>
      </w:r>
    </w:p>
    <w:p w:rsidR="00932470" w:rsidRPr="00932470" w:rsidRDefault="00932470" w:rsidP="00932470">
      <w:pPr>
        <w:autoSpaceDN w:val="0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  <w:r w:rsidRPr="00932470">
        <w:rPr>
          <w:rFonts w:ascii="Times New Roman" w:eastAsia="Calibri" w:hAnsi="Times New Roman"/>
          <w:b/>
          <w:sz w:val="24"/>
          <w:szCs w:val="24"/>
        </w:rPr>
        <w:lastRenderedPageBreak/>
        <w:t>Odpowiedź Zamawiającego:</w:t>
      </w:r>
    </w:p>
    <w:p w:rsidR="00932470" w:rsidRPr="00932470" w:rsidRDefault="00932470" w:rsidP="00932470">
      <w:pPr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 xml:space="preserve">W   związku   z brakiem informacji w jakiej kolejności będą wykonywane etapy  przyjęto jakby każdy etap był wykonywany oddzielnie w związku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z powyższym  przyjęto tzw. roboty tracone.</w:t>
      </w:r>
    </w:p>
    <w:p w:rsidR="00932470" w:rsidRPr="00932470" w:rsidRDefault="00932470" w:rsidP="00932470">
      <w:pPr>
        <w:ind w:left="283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autoSpaceDN w:val="0"/>
        <w:spacing w:after="20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uzupełnieniem dnia 10.04.2018 r. materiałów przetargowych o rys. D_I_PW_01 Plan sytuacyjny, prosimy o wyjaśnienie: organizacja ruchu: część zakresu rozbiórki istniejącego oznakowania uwzględniono zarówno na rys. D_I_PW_01 (część I zamówienia), jak i na rys. D_II_PW_01 (część IV zamówienia, etap II) – wskazane powyżej. Ze względu na fakt, że część I </w:t>
      </w:r>
      <w:proofErr w:type="spellStart"/>
      <w:r w:rsidRPr="00932470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Pr="00932470">
        <w:rPr>
          <w:rFonts w:ascii="Times New Roman" w:eastAsia="Times New Roman" w:hAnsi="Times New Roman"/>
          <w:sz w:val="24"/>
          <w:szCs w:val="24"/>
          <w:lang w:eastAsia="pl-PL"/>
        </w:rPr>
        <w:t xml:space="preserve"> część IV zamówienia mogą być realizowane przez różnych wykonawców, prosimy o wskazanie jednej części zamówienia, dla której należy wykonać wskazane wyżej rozbiórki elementów oznakowania oraz odpowiednią modyfikację przedmiarów.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bookmarkEnd w:id="0"/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W   związku   z brakiem informacji w jakiej kolejności będą wykonywane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 xml:space="preserve">etapy  przyjęto jakby każdy etap był wykonywany oddzielnie w związku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z powyższym  przyjęto tzw. roboty tracone.</w:t>
      </w: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W związku z uzupełnieniem dnia 10.04.2018 r. materiałów przetargowych o rys. D_I_PW_01 Plan sytuacyjny, prosimy o wyjaśnienie: organizacja ruchu: występują rozbieżności pomiędzy ilościami podanymi w przedmiarze a na rys. D_I_PW_01 – dla pozycji: 66, 68,70. Ze względu na ryczałtowe rozliczenie, prosimy o wskazanie właściwej ilości.</w:t>
      </w: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  <w:r w:rsidRPr="00932470">
        <w:rPr>
          <w:rFonts w:ascii="Times New Roman" w:eastAsia="Calibri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  <w:r w:rsidRPr="00932470">
        <w:rPr>
          <w:rFonts w:ascii="Times New Roman" w:eastAsia="Calibri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  <w:r w:rsidRPr="00932470">
        <w:rPr>
          <w:rFonts w:ascii="Times New Roman" w:eastAsia="Calibri" w:hAnsi="Times New Roman"/>
          <w:b/>
          <w:bCs/>
          <w:sz w:val="24"/>
          <w:szCs w:val="24"/>
        </w:rPr>
        <w:t>Pozycja 66 słupki 6 szt.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 xml:space="preserve">Pozycja 68  D-18 2 szt. , D 6b - 1szt. </w:t>
      </w:r>
      <w:r w:rsidRPr="00932470">
        <w:rPr>
          <w:rFonts w:ascii="Times New Roman" w:eastAsia="Calibri" w:hAnsi="Times New Roman"/>
          <w:b/>
          <w:bCs/>
          <w:sz w:val="24"/>
          <w:szCs w:val="24"/>
        </w:rPr>
        <w:br/>
        <w:t>Pozycja 70 T- 23f jedna sztuka.</w:t>
      </w:r>
    </w:p>
    <w:p w:rsidR="00932470" w:rsidRPr="00932470" w:rsidRDefault="00932470" w:rsidP="00932470">
      <w:pPr>
        <w:ind w:left="283"/>
        <w:rPr>
          <w:rFonts w:ascii="Times New Roman" w:eastAsia="Calibri" w:hAnsi="Times New Roman"/>
          <w:b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W związku z uzupełnieniem dnia 10.04.2018 r. materiałów przetargowych o rys. D_I_PW_01 Plan sytuacyjny, prosimy o wyjaśnienie: organizacja ruchu: w przedmiarze robót w poz. 73. Wykonanie oznakowania poziomego podano ilość 26,66 m2, zgodnie z rys. D_I_PW_01 ilość oznakowania poziomego 45 m2. Ze względu na ryczałtowe rozliczenie, prosimy o wskazanie właściwej ilości.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Pozycja  malowania poziomego dla wszystkich linii łącznie z malowaniem</w:t>
      </w:r>
      <w:r w:rsidRPr="00932470">
        <w:rPr>
          <w:rFonts w:ascii="Times New Roman" w:eastAsia="Times New Roman" w:hAnsi="Times New Roman"/>
          <w:b/>
          <w:bCs/>
          <w:sz w:val="24"/>
          <w:szCs w:val="24"/>
        </w:rPr>
        <w:br/>
        <w:t>traconym wynosi  ok 41.50m².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W związku z uzupełnieniem dnia 10.04.2018 r. materiałów przetargowych o rys. D_I_PW_01 Plan sytuacyjny, prosimy o wyjaśnienie: organizacja ruchu: w przedmiarze robót w poz. 74. Wykonanie oznakowania poziomego koloru czerwonego podano ilość 5 m2, zgodnie z rys. D_I_PW_01 ilość oznakowania poziomego koloru czerwonego wynosi 12,5 m2. Ze względu na ryczałtowe rozliczenie, prosimy o wskazanie właściwej ilości.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</w:rPr>
        <w:t>Powierzchnia   malowania  kolorem  czerwonego  powinna wynosić 12,5m².</w:t>
      </w:r>
      <w:r w:rsidRPr="00932470"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Część IV, etap II – organizacja ruchu: w przedmiarze robót w poz. 57. Wykonanie oznakowania poziomego podano ilość 95,83 m2, zgodnie z rys. D_II_PW_01 ilość oznakowania poziomego nie przekracza 60 m2. Ze względu na ryczałtowe rozliczenie, prosimy o wskazanie właściwej ilości.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</w:rPr>
        <w:t xml:space="preserve">Cześć IV etap II. 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</w:rPr>
        <w:t>Prawidłowa  wartość  oznakowania  poziomego  dla  całości  liczona w m²</w:t>
      </w:r>
      <w:r w:rsidRPr="00932470">
        <w:rPr>
          <w:rFonts w:ascii="Times New Roman" w:eastAsia="Times New Roman" w:hAnsi="Times New Roman"/>
          <w:b/>
          <w:bCs/>
          <w:sz w:val="24"/>
          <w:szCs w:val="24"/>
        </w:rPr>
        <w:br/>
        <w:t>wynosi ok 43 m².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Część IV, etap IV – organizacja ruchu: w przedmiarze robót w poz. 37. Wykonanie oznakowania poziomego podano ilość 110,88 m2, zgodnie z rys. D_IV_PW_01 ilość oznakowania poziomego wynosi pkt. 10,2 m2. Ze względu na ryczałtowe rozliczenie, prosimy o wskazanie właściwej ilości.</w:t>
      </w: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spacing w:after="200" w:line="276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Cześć IV etap IV Oznakowanie poziome. Prawidłowa wartość oznakowania poziomego P-18 (pozycja 37) liczona w m² wynosi ok 10.2m².</w:t>
      </w: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before="300" w:after="240"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lastRenderedPageBreak/>
        <w:t>Część IV, etap IV – organizacja ruchu: w przedmiarze robót nie uwzględniono znaku F-11, który występuje na rys. D_IV_PW_01. Ze względu na ryczałtowe rozliczenie, prosimy o odpowiednią modyfikację przedmiaru.</w:t>
      </w:r>
    </w:p>
    <w:p w:rsidR="00932470" w:rsidRPr="00932470" w:rsidRDefault="00932470" w:rsidP="00932470">
      <w:pPr>
        <w:ind w:left="227"/>
        <w:rPr>
          <w:rFonts w:ascii="Times New Roman" w:eastAsia="Calibri" w:hAnsi="Times New Roman"/>
          <w:b/>
          <w:sz w:val="24"/>
          <w:szCs w:val="24"/>
        </w:rPr>
      </w:pPr>
      <w:r w:rsidRPr="00932470">
        <w:rPr>
          <w:rFonts w:ascii="Times New Roman" w:eastAsia="Calibri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shd w:val="clear" w:color="auto" w:fill="FFFFFF"/>
        <w:spacing w:before="300" w:after="240" w:line="276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932470">
        <w:rPr>
          <w:rFonts w:ascii="Times New Roman" w:hAnsi="Times New Roman"/>
          <w:b/>
          <w:sz w:val="24"/>
          <w:szCs w:val="24"/>
        </w:rPr>
        <w:t>Na  rysunku  D_IV_PW_01 Dla tego etapu znak F-11 nie występuje,  proszę o wskazanie    w którym miejscu.</w:t>
      </w:r>
    </w:p>
    <w:p w:rsidR="00932470" w:rsidRPr="00932470" w:rsidRDefault="00932470" w:rsidP="00932470">
      <w:pPr>
        <w:numPr>
          <w:ilvl w:val="0"/>
          <w:numId w:val="10"/>
        </w:numPr>
        <w:spacing w:after="200" w:line="276" w:lineRule="auto"/>
        <w:ind w:left="303"/>
        <w:contextualSpacing/>
        <w:rPr>
          <w:rFonts w:ascii="Times New Roman" w:eastAsia="Calibri" w:hAnsi="Times New Roman"/>
          <w:sz w:val="24"/>
          <w:szCs w:val="24"/>
        </w:rPr>
      </w:pPr>
      <w:r w:rsidRPr="00932470">
        <w:rPr>
          <w:rFonts w:ascii="Times New Roman" w:eastAsia="Calibri" w:hAnsi="Times New Roman"/>
          <w:sz w:val="24"/>
          <w:szCs w:val="24"/>
        </w:rPr>
        <w:t xml:space="preserve">Zapisy umowy par. 12 „Kary umowne" punkt 2 podpunkt 1 m. Proszę o zmianę wysokości kary po poziomu 0,2% wartości wynagrodzenia umownego za każdorazową wykonywaną czynność. Wysokość kary na poziomie 2% jest nieproporcjonalnie wysoka. Obowiązki kierownika budowy definiują zapisy prawa budowlanego i zgodnie z zapisami może być tylko jeden kierownik budowy. Dodatkowo zgodnie z prawem pracy kierownikowi budowy przysługuje urlop wypoczynkowy, w czasie którego nie będzie obecny na budowie. W takich okresach kierowanie pracami na budowie przejmie kierownik robót (zgłoszony do akceptacji przez Inwestora) z odpowiednimi uprawnieniami wymaganymi przez SIWZ i prawo budowlane. Czy taka sytuacja narusza zdaniem Inwestora zapisy </w:t>
      </w:r>
      <w:bookmarkStart w:id="1" w:name="_GoBack"/>
      <w:bookmarkEnd w:id="1"/>
      <w:r w:rsidRPr="00932470">
        <w:rPr>
          <w:rFonts w:ascii="Times New Roman" w:eastAsia="Calibri" w:hAnsi="Times New Roman"/>
          <w:sz w:val="24"/>
          <w:szCs w:val="24"/>
        </w:rPr>
        <w:t>umowy?</w:t>
      </w:r>
    </w:p>
    <w:p w:rsidR="00932470" w:rsidRPr="00932470" w:rsidRDefault="00932470" w:rsidP="00932470">
      <w:pPr>
        <w:spacing w:after="200" w:line="276" w:lineRule="auto"/>
        <w:ind w:left="303"/>
        <w:contextualSpacing/>
        <w:rPr>
          <w:rFonts w:ascii="Times New Roman" w:eastAsia="Calibri" w:hAnsi="Times New Roman"/>
          <w:sz w:val="24"/>
          <w:szCs w:val="24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b/>
          <w:sz w:val="24"/>
          <w:szCs w:val="24"/>
          <w:lang w:eastAsia="pl-PL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2470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wyraża zgodna zmniejszenie wysokości kary w w/w przypadku do wysokości 0,2 %. W sytuacji przejęcia obowiązków kierownika budowy przez inną osobę legitymującą się stosownymi uprawnieniami na określony czas, a zaakceptowaną przez Zamawiającego nie dojdzie do naruszenia postanowień umowy. </w:t>
      </w:r>
    </w:p>
    <w:p w:rsidR="00932470" w:rsidRPr="00932470" w:rsidRDefault="00932470" w:rsidP="00932470">
      <w:pPr>
        <w:autoSpaceDN w:val="0"/>
        <w:spacing w:line="276" w:lineRule="auto"/>
        <w:ind w:left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2470" w:rsidRPr="00932470" w:rsidRDefault="00932470" w:rsidP="00932470">
      <w:pPr>
        <w:numPr>
          <w:ilvl w:val="0"/>
          <w:numId w:val="10"/>
        </w:numPr>
        <w:shd w:val="clear" w:color="auto" w:fill="FFFFFF"/>
        <w:spacing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932470">
        <w:rPr>
          <w:rFonts w:ascii="Times New Roman" w:hAnsi="Times New Roman"/>
          <w:sz w:val="24"/>
          <w:szCs w:val="24"/>
        </w:rPr>
        <w:t>Zapisy umowy par. 12 „Kary umowne" punkt 2 podpunkt 1 n. Wnoszę o wykreślenie tego punktu. Prawo budowlane wymaga obecności kierownika budowy posiadającego odpowiednie uprawnienia do pełnienia samodzielnej funkcji w budownictwie. Na budowie nie jest dodatkowo wymagana stała obecność kierownika robót. W czasie prowadzenia robót branżowych Wykonawca zapewni kierowników robót z odpowiednimi uprawnieniami, nie ma potrzeby ani obowiązku aby przebywali oni stale na placu budowy, w czasie kiedy prowadzone są inne rodzaje prac.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470">
        <w:rPr>
          <w:rFonts w:ascii="Times New Roman" w:eastAsia="Times New Roman" w:hAnsi="Times New Roman"/>
          <w:b/>
          <w:sz w:val="24"/>
          <w:szCs w:val="24"/>
        </w:rPr>
        <w:t>Odpowiedź Zamawiającego:</w:t>
      </w: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  <w:r w:rsidRPr="00932470">
        <w:rPr>
          <w:rFonts w:ascii="Times New Roman" w:eastAsia="Times New Roman" w:hAnsi="Times New Roman"/>
          <w:sz w:val="24"/>
          <w:szCs w:val="24"/>
        </w:rPr>
        <w:t xml:space="preserve">Wystarczająca będzie obecność kierowników robót branżowych w trakcie realizacji zadania w danej branży. I tak ten zapis rozumie Zamawiający. W związku z powyższym </w:t>
      </w:r>
      <w:r w:rsidRPr="00932470">
        <w:rPr>
          <w:rFonts w:ascii="Times New Roman" w:eastAsia="Times New Roman" w:hAnsi="Times New Roman"/>
          <w:sz w:val="24"/>
          <w:szCs w:val="24"/>
        </w:rPr>
        <w:lastRenderedPageBreak/>
        <w:t xml:space="preserve">nie ma podstaw do jego wykreślenia. Jak wynika zresztą literalnego brzmienia tego zapisu – kara dotyczy „stałej” nieobecności kierownika robót na budowie.  </w:t>
      </w:r>
    </w:p>
    <w:p w:rsidR="00932470" w:rsidRPr="00932470" w:rsidRDefault="00932470" w:rsidP="00932470">
      <w:pPr>
        <w:shd w:val="clear" w:color="auto" w:fill="FFFFFF"/>
        <w:tabs>
          <w:tab w:val="left" w:pos="1066"/>
        </w:tabs>
        <w:spacing w:before="300" w:after="240" w:line="250" w:lineRule="exact"/>
        <w:ind w:left="283"/>
        <w:jc w:val="both"/>
        <w:rPr>
          <w:rFonts w:ascii="Arial" w:eastAsia="Calibri" w:hAnsi="Arial" w:cs="Arial"/>
        </w:rPr>
      </w:pPr>
    </w:p>
    <w:p w:rsidR="00932470" w:rsidRPr="00932470" w:rsidRDefault="00932470" w:rsidP="00932470">
      <w:pPr>
        <w:shd w:val="clear" w:color="auto" w:fill="FFFFFF"/>
        <w:tabs>
          <w:tab w:val="left" w:pos="1066"/>
        </w:tabs>
        <w:spacing w:before="300" w:after="240" w:line="250" w:lineRule="exact"/>
        <w:ind w:left="283"/>
        <w:jc w:val="both"/>
        <w:rPr>
          <w:rFonts w:ascii="Arial" w:hAnsi="Arial" w:cs="Arial"/>
        </w:rPr>
      </w:pPr>
    </w:p>
    <w:p w:rsidR="00932470" w:rsidRPr="00932470" w:rsidRDefault="00932470" w:rsidP="00932470">
      <w:pPr>
        <w:autoSpaceDN w:val="0"/>
        <w:spacing w:line="276" w:lineRule="auto"/>
        <w:ind w:left="283"/>
        <w:jc w:val="both"/>
        <w:rPr>
          <w:rFonts w:ascii="Times New Roman" w:eastAsia="Calibri" w:hAnsi="Times New Roman"/>
          <w:sz w:val="24"/>
          <w:szCs w:val="24"/>
        </w:rPr>
      </w:pPr>
    </w:p>
    <w:p w:rsidR="00CC10AA" w:rsidRPr="00C80981" w:rsidRDefault="00CC10AA" w:rsidP="00932470">
      <w:pPr>
        <w:autoSpaceDN w:val="0"/>
        <w:ind w:left="283"/>
        <w:jc w:val="both"/>
        <w:rPr>
          <w:rFonts w:ascii="Times New Roman" w:hAnsi="Times New Roman"/>
          <w:sz w:val="24"/>
          <w:szCs w:val="24"/>
        </w:rPr>
      </w:pPr>
    </w:p>
    <w:sectPr w:rsidR="00CC10AA" w:rsidRPr="00C80981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F76D7FC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"/>
      <w:lvlJc w:val="left"/>
      <w:rPr>
        <w:sz w:val="22"/>
        <w:szCs w:val="22"/>
      </w:rPr>
    </w:lvl>
    <w:lvl w:ilvl="2">
      <w:start w:val="1"/>
      <w:numFmt w:val="decimal"/>
      <w:lvlText w:val="%1."/>
      <w:lvlJc w:val="left"/>
      <w:rPr>
        <w:sz w:val="22"/>
        <w:szCs w:val="22"/>
      </w:rPr>
    </w:lvl>
    <w:lvl w:ilvl="3">
      <w:start w:val="1"/>
      <w:numFmt w:val="decimal"/>
      <w:lvlText w:val="%1."/>
      <w:lvlJc w:val="left"/>
      <w:rPr>
        <w:sz w:val="22"/>
        <w:szCs w:val="22"/>
      </w:rPr>
    </w:lvl>
    <w:lvl w:ilvl="4">
      <w:start w:val="1"/>
      <w:numFmt w:val="decimal"/>
      <w:lvlText w:val="%1."/>
      <w:lvlJc w:val="left"/>
      <w:rPr>
        <w:sz w:val="22"/>
        <w:szCs w:val="22"/>
      </w:rPr>
    </w:lvl>
    <w:lvl w:ilvl="5">
      <w:start w:val="1"/>
      <w:numFmt w:val="decimal"/>
      <w:lvlText w:val="%1."/>
      <w:lvlJc w:val="left"/>
      <w:rPr>
        <w:sz w:val="22"/>
        <w:szCs w:val="22"/>
      </w:rPr>
    </w:lvl>
    <w:lvl w:ilvl="6">
      <w:start w:val="1"/>
      <w:numFmt w:val="decimal"/>
      <w:lvlText w:val="%1."/>
      <w:lvlJc w:val="left"/>
      <w:rPr>
        <w:sz w:val="22"/>
        <w:szCs w:val="22"/>
      </w:rPr>
    </w:lvl>
    <w:lvl w:ilvl="7">
      <w:start w:val="1"/>
      <w:numFmt w:val="decimal"/>
      <w:lvlText w:val="%1."/>
      <w:lvlJc w:val="left"/>
      <w:rPr>
        <w:sz w:val="22"/>
        <w:szCs w:val="22"/>
      </w:rPr>
    </w:lvl>
    <w:lvl w:ilvl="8">
      <w:start w:val="1"/>
      <w:numFmt w:val="decimal"/>
      <w:lvlText w:val="%1."/>
      <w:lvlJc w:val="left"/>
      <w:rPr>
        <w:sz w:val="22"/>
        <w:szCs w:val="22"/>
      </w:rPr>
    </w:lvl>
  </w:abstractNum>
  <w:abstractNum w:abstractNumId="1">
    <w:nsid w:val="12200D1B"/>
    <w:multiLevelType w:val="multilevel"/>
    <w:tmpl w:val="0B7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06BEB"/>
    <w:multiLevelType w:val="multilevel"/>
    <w:tmpl w:val="E8AA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71E94"/>
    <w:multiLevelType w:val="hybridMultilevel"/>
    <w:tmpl w:val="EC4EEF16"/>
    <w:lvl w:ilvl="0" w:tplc="C64E33A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3CC2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002EE"/>
    <w:multiLevelType w:val="multilevel"/>
    <w:tmpl w:val="2AD8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9C09AF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D0521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007C1E"/>
    <w:rsid w:val="00077766"/>
    <w:rsid w:val="000A774B"/>
    <w:rsid w:val="000E40E5"/>
    <w:rsid w:val="001102A2"/>
    <w:rsid w:val="00247AFE"/>
    <w:rsid w:val="002622D6"/>
    <w:rsid w:val="00281BAE"/>
    <w:rsid w:val="002D0330"/>
    <w:rsid w:val="00335CCA"/>
    <w:rsid w:val="003370E3"/>
    <w:rsid w:val="00370B67"/>
    <w:rsid w:val="00384CC3"/>
    <w:rsid w:val="003D1997"/>
    <w:rsid w:val="00547BB2"/>
    <w:rsid w:val="005E0775"/>
    <w:rsid w:val="005F171D"/>
    <w:rsid w:val="00682CA9"/>
    <w:rsid w:val="007243EB"/>
    <w:rsid w:val="0075261C"/>
    <w:rsid w:val="00760914"/>
    <w:rsid w:val="00813E82"/>
    <w:rsid w:val="009138C7"/>
    <w:rsid w:val="00923060"/>
    <w:rsid w:val="00927FB0"/>
    <w:rsid w:val="00932470"/>
    <w:rsid w:val="00A14BB5"/>
    <w:rsid w:val="00A566A3"/>
    <w:rsid w:val="00A60B5C"/>
    <w:rsid w:val="00B94DA6"/>
    <w:rsid w:val="00BD5C4A"/>
    <w:rsid w:val="00C45246"/>
    <w:rsid w:val="00C80981"/>
    <w:rsid w:val="00CB20F7"/>
    <w:rsid w:val="00CC10AA"/>
    <w:rsid w:val="00CC5CBE"/>
    <w:rsid w:val="00CE2CEB"/>
    <w:rsid w:val="00D3178E"/>
    <w:rsid w:val="00D67BB4"/>
    <w:rsid w:val="00E3584D"/>
    <w:rsid w:val="00E45167"/>
    <w:rsid w:val="00E60014"/>
    <w:rsid w:val="00E97B0A"/>
    <w:rsid w:val="00ED6D2A"/>
    <w:rsid w:val="00EF1AE6"/>
    <w:rsid w:val="00F50C31"/>
    <w:rsid w:val="00F81AC1"/>
    <w:rsid w:val="00FB6EC3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B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CC10AA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10AA"/>
    <w:pPr>
      <w:shd w:val="clear" w:color="auto" w:fill="FFFFFF"/>
      <w:spacing w:before="300" w:after="240" w:line="250" w:lineRule="exact"/>
      <w:ind w:hanging="36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B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CC10AA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10AA"/>
    <w:pPr>
      <w:shd w:val="clear" w:color="auto" w:fill="FFFFFF"/>
      <w:spacing w:before="300" w:after="240" w:line="250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3</cp:revision>
  <cp:lastPrinted>2018-04-12T10:00:00Z</cp:lastPrinted>
  <dcterms:created xsi:type="dcterms:W3CDTF">2018-04-20T13:28:00Z</dcterms:created>
  <dcterms:modified xsi:type="dcterms:W3CDTF">2018-04-23T09:33:00Z</dcterms:modified>
</cp:coreProperties>
</file>