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2901" w:rsidRPr="009A0150" w:rsidRDefault="001A2901" w:rsidP="001A2901">
      <w:pPr>
        <w:shd w:val="clear" w:color="auto" w:fill="FFFFFF"/>
        <w:spacing w:after="0" w:line="240" w:lineRule="auto"/>
        <w:jc w:val="center"/>
        <w:rPr>
          <w:rFonts w:eastAsia="Times New Roman"/>
          <w:b/>
          <w:bCs/>
          <w:color w:val="auto"/>
          <w:sz w:val="28"/>
          <w:lang w:eastAsia="pl-PL"/>
        </w:rPr>
      </w:pPr>
      <w:r w:rsidRPr="009A0150">
        <w:rPr>
          <w:rFonts w:eastAsia="Times New Roman"/>
          <w:b/>
          <w:bCs/>
          <w:color w:val="auto"/>
          <w:sz w:val="28"/>
          <w:lang w:eastAsia="pl-PL"/>
        </w:rPr>
        <w:t>K O M U N I K A T</w:t>
      </w:r>
    </w:p>
    <w:p w:rsidR="001A2901" w:rsidRPr="009A0150" w:rsidRDefault="001A2901" w:rsidP="001A2901">
      <w:pPr>
        <w:shd w:val="clear" w:color="auto" w:fill="FFFFFF"/>
        <w:spacing w:after="0" w:line="240" w:lineRule="auto"/>
        <w:jc w:val="center"/>
        <w:rPr>
          <w:rFonts w:eastAsia="Times New Roman"/>
          <w:color w:val="auto"/>
          <w:sz w:val="12"/>
          <w:lang w:eastAsia="pl-PL"/>
        </w:rPr>
      </w:pPr>
    </w:p>
    <w:p w:rsidR="001A2901" w:rsidRPr="009A0150" w:rsidRDefault="001A2901" w:rsidP="001A2901">
      <w:pPr>
        <w:shd w:val="clear" w:color="auto" w:fill="FFFFFF"/>
        <w:spacing w:after="0" w:line="240" w:lineRule="auto"/>
        <w:jc w:val="center"/>
        <w:rPr>
          <w:rFonts w:eastAsia="Times New Roman"/>
          <w:color w:val="auto"/>
          <w:lang w:eastAsia="pl-PL"/>
        </w:rPr>
      </w:pPr>
      <w:proofErr w:type="gramStart"/>
      <w:r w:rsidRPr="009A0150">
        <w:rPr>
          <w:rFonts w:eastAsia="Times New Roman"/>
          <w:b/>
          <w:bCs/>
          <w:color w:val="auto"/>
          <w:lang w:eastAsia="pl-PL"/>
        </w:rPr>
        <w:t>w</w:t>
      </w:r>
      <w:proofErr w:type="gramEnd"/>
      <w:r w:rsidRPr="009A0150">
        <w:rPr>
          <w:rFonts w:eastAsia="Times New Roman"/>
          <w:b/>
          <w:bCs/>
          <w:color w:val="auto"/>
          <w:lang w:eastAsia="pl-PL"/>
        </w:rPr>
        <w:t xml:space="preserve"> sprawie opodatkowania podatkiem od nieruchomości części wspólnych budynków</w:t>
      </w:r>
    </w:p>
    <w:p w:rsidR="001A2901" w:rsidRDefault="001A2901" w:rsidP="001A2901">
      <w:pPr>
        <w:shd w:val="clear" w:color="auto" w:fill="FFFFFF"/>
        <w:spacing w:after="0" w:line="240" w:lineRule="auto"/>
        <w:ind w:firstLine="284"/>
        <w:jc w:val="both"/>
        <w:rPr>
          <w:rFonts w:eastAsia="Times New Roman"/>
          <w:lang w:eastAsia="pl-PL"/>
        </w:rPr>
      </w:pPr>
    </w:p>
    <w:p w:rsidR="001A2901" w:rsidRDefault="001A2901" w:rsidP="001A2901">
      <w:pPr>
        <w:shd w:val="clear" w:color="auto" w:fill="FFFFFF"/>
        <w:spacing w:after="0" w:line="240" w:lineRule="auto"/>
        <w:ind w:firstLine="284"/>
        <w:jc w:val="both"/>
        <w:rPr>
          <w:rFonts w:ascii="Arial" w:hAnsi="Arial" w:cs="Arial"/>
          <w:color w:val="2F2F2F"/>
          <w:sz w:val="20"/>
          <w:szCs w:val="20"/>
        </w:rPr>
      </w:pPr>
      <w:r>
        <w:rPr>
          <w:rFonts w:eastAsia="Times New Roman"/>
          <w:lang w:eastAsia="pl-PL"/>
        </w:rPr>
        <w:t xml:space="preserve">Od 1 stycznia 2016 r. dla wszystkich współwłaścicieli nieruchomości, </w:t>
      </w:r>
      <w:r>
        <w:rPr>
          <w:rFonts w:eastAsia="Times New Roman"/>
          <w:u w:val="single"/>
          <w:lang w:eastAsia="pl-PL"/>
        </w:rPr>
        <w:t>w których </w:t>
      </w:r>
      <w:r>
        <w:rPr>
          <w:rFonts w:eastAsia="Times New Roman"/>
          <w:iCs/>
          <w:u w:val="single"/>
          <w:lang w:eastAsia="pl-PL"/>
        </w:rPr>
        <w:t>wyodrębniono własność lokali</w:t>
      </w:r>
      <w:r>
        <w:rPr>
          <w:rFonts w:eastAsia="Times New Roman"/>
          <w:u w:val="single"/>
          <w:lang w:eastAsia="pl-PL"/>
        </w:rPr>
        <w:t>,</w:t>
      </w:r>
      <w:r>
        <w:rPr>
          <w:rFonts w:eastAsia="Times New Roman"/>
          <w:lang w:eastAsia="pl-PL"/>
        </w:rPr>
        <w:t xml:space="preserve"> nowością będzie podatek od nieruchomości naliczany od części wspólnych budynku. W znowelizowanej przez Sejm ustawie o podatkach i opłatach lokalnych wprowadzono zapis, który </w:t>
      </w:r>
      <w:proofErr w:type="gramStart"/>
      <w:r>
        <w:rPr>
          <w:rFonts w:eastAsia="Times New Roman"/>
          <w:lang w:eastAsia="pl-PL"/>
        </w:rPr>
        <w:t>określa wprost, że</w:t>
      </w:r>
      <w:proofErr w:type="gramEnd"/>
      <w:r>
        <w:rPr>
          <w:rFonts w:eastAsia="Times New Roman"/>
          <w:lang w:eastAsia="pl-PL"/>
        </w:rPr>
        <w:t xml:space="preserve"> obowiązek podatkowy w zakresie podatku od nieruchomości od gruntu oraz od części budynku </w:t>
      </w:r>
      <w:r>
        <w:rPr>
          <w:rFonts w:eastAsia="Times New Roman"/>
          <w:u w:val="single"/>
          <w:lang w:eastAsia="pl-PL"/>
        </w:rPr>
        <w:t>stanowiących nieruchomość wspólną</w:t>
      </w:r>
      <w:r>
        <w:rPr>
          <w:rFonts w:eastAsia="Times New Roman"/>
          <w:lang w:eastAsia="pl-PL"/>
        </w:rPr>
        <w:t xml:space="preserve"> ciąży na właścicielach w zakresie odpowiadającym ich udziałowi w nieruchomości wspólnej.</w:t>
      </w:r>
      <w:r>
        <w:rPr>
          <w:rFonts w:ascii="Arial" w:hAnsi="Arial" w:cs="Arial"/>
          <w:color w:val="2F2F2F"/>
          <w:sz w:val="20"/>
          <w:szCs w:val="20"/>
        </w:rPr>
        <w:t xml:space="preserve"> </w:t>
      </w:r>
    </w:p>
    <w:p w:rsidR="001A2901" w:rsidRDefault="001A2901" w:rsidP="001A2901">
      <w:pPr>
        <w:shd w:val="clear" w:color="auto" w:fill="FFFFFF"/>
        <w:spacing w:after="0" w:line="240" w:lineRule="auto"/>
        <w:jc w:val="both"/>
        <w:rPr>
          <w:rFonts w:eastAsia="Times New Roman"/>
          <w:sz w:val="6"/>
          <w:lang w:eastAsia="pl-PL"/>
        </w:rPr>
      </w:pPr>
    </w:p>
    <w:p w:rsidR="001A2901" w:rsidRDefault="001A2901" w:rsidP="001A2901">
      <w:pPr>
        <w:shd w:val="clear" w:color="auto" w:fill="FFFFFF"/>
        <w:spacing w:after="0" w:line="240" w:lineRule="auto"/>
        <w:jc w:val="both"/>
        <w:rPr>
          <w:rFonts w:eastAsia="Times New Roman"/>
          <w:lang w:eastAsia="pl-PL"/>
        </w:rPr>
      </w:pPr>
      <w:r>
        <w:rPr>
          <w:rFonts w:eastAsia="Times New Roman"/>
          <w:lang w:eastAsia="pl-PL"/>
        </w:rPr>
        <w:t>Nieruchomości wspólne to:</w:t>
      </w:r>
    </w:p>
    <w:p w:rsidR="001A2901" w:rsidRDefault="001A2901" w:rsidP="001A2901">
      <w:pPr>
        <w:pStyle w:val="Akapitzlist"/>
        <w:numPr>
          <w:ilvl w:val="0"/>
          <w:numId w:val="1"/>
        </w:numPr>
        <w:shd w:val="clear" w:color="auto" w:fill="FFFFFF"/>
        <w:spacing w:after="0" w:line="240" w:lineRule="auto"/>
        <w:jc w:val="both"/>
        <w:rPr>
          <w:rFonts w:eastAsia="Times New Roman"/>
          <w:lang w:eastAsia="pl-PL"/>
        </w:rPr>
      </w:pPr>
      <w:proofErr w:type="gramStart"/>
      <w:r>
        <w:rPr>
          <w:rFonts w:eastAsia="Times New Roman"/>
          <w:lang w:eastAsia="pl-PL"/>
        </w:rPr>
        <w:t>grunt</w:t>
      </w:r>
      <w:proofErr w:type="gramEnd"/>
      <w:r>
        <w:rPr>
          <w:rFonts w:eastAsia="Times New Roman"/>
          <w:lang w:eastAsia="pl-PL"/>
        </w:rPr>
        <w:t xml:space="preserve"> (ewentualnie prawo użytkowania wieczystego), na którym wzniesiono budynek,</w:t>
      </w:r>
    </w:p>
    <w:p w:rsidR="001A2901" w:rsidRDefault="001A2901" w:rsidP="001A2901">
      <w:pPr>
        <w:pStyle w:val="Akapitzlist"/>
        <w:numPr>
          <w:ilvl w:val="0"/>
          <w:numId w:val="1"/>
        </w:numPr>
        <w:shd w:val="clear" w:color="auto" w:fill="FFFFFF"/>
        <w:spacing w:after="0" w:line="240" w:lineRule="auto"/>
        <w:jc w:val="both"/>
        <w:rPr>
          <w:rFonts w:eastAsia="Times New Roman"/>
          <w:lang w:eastAsia="pl-PL"/>
        </w:rPr>
      </w:pPr>
      <w:proofErr w:type="gramStart"/>
      <w:r>
        <w:rPr>
          <w:rFonts w:eastAsia="Times New Roman"/>
          <w:lang w:eastAsia="pl-PL"/>
        </w:rPr>
        <w:t>części</w:t>
      </w:r>
      <w:proofErr w:type="gramEnd"/>
      <w:r>
        <w:rPr>
          <w:rFonts w:eastAsia="Times New Roman"/>
          <w:lang w:eastAsia="pl-PL"/>
        </w:rPr>
        <w:t xml:space="preserve"> budynku, które nie służą wyłącznie do użytku poszczególnych właścicieli lokali, czyli nie </w:t>
      </w:r>
      <w:r>
        <w:rPr>
          <w:rFonts w:eastAsia="Times New Roman"/>
          <w:lang w:eastAsia="pl-PL"/>
        </w:rPr>
        <w:br/>
        <w:t>są pomieszczeniami przynależnymi do tych lokali, np.:</w:t>
      </w:r>
    </w:p>
    <w:p w:rsidR="001A2901" w:rsidRDefault="001A2901" w:rsidP="001A2901">
      <w:pPr>
        <w:pStyle w:val="Akapitzlist"/>
        <w:numPr>
          <w:ilvl w:val="0"/>
          <w:numId w:val="2"/>
        </w:numPr>
        <w:shd w:val="clear" w:color="auto" w:fill="FFFFFF"/>
        <w:spacing w:after="0" w:line="240" w:lineRule="auto"/>
        <w:rPr>
          <w:rFonts w:eastAsia="Times New Roman"/>
          <w:lang w:eastAsia="pl-PL"/>
        </w:rPr>
      </w:pPr>
      <w:proofErr w:type="gramStart"/>
      <w:r>
        <w:rPr>
          <w:rFonts w:eastAsia="Times New Roman"/>
          <w:lang w:eastAsia="pl-PL"/>
        </w:rPr>
        <w:t>klatki</w:t>
      </w:r>
      <w:proofErr w:type="gramEnd"/>
      <w:r>
        <w:rPr>
          <w:rFonts w:eastAsia="Times New Roman"/>
          <w:lang w:eastAsia="pl-PL"/>
        </w:rPr>
        <w:t xml:space="preserve"> schodowe, korytarze, hole, przejścia, prześwity oraz inne elementy służące do komunikacji wewnątrz lub w granicach budynku; przy czym powierzchnie klatek schodowych oraz szybów windowych są zwolnione z opodatkowania,</w:t>
      </w:r>
    </w:p>
    <w:p w:rsidR="001A2901" w:rsidRDefault="001A2901" w:rsidP="001A2901">
      <w:pPr>
        <w:pStyle w:val="Akapitzlist"/>
        <w:numPr>
          <w:ilvl w:val="0"/>
          <w:numId w:val="2"/>
        </w:numPr>
        <w:shd w:val="clear" w:color="auto" w:fill="FFFFFF"/>
        <w:spacing w:after="0" w:line="240" w:lineRule="auto"/>
        <w:rPr>
          <w:rFonts w:eastAsia="Times New Roman"/>
          <w:lang w:eastAsia="pl-PL"/>
        </w:rPr>
      </w:pPr>
      <w:proofErr w:type="gramStart"/>
      <w:r>
        <w:rPr>
          <w:rFonts w:eastAsia="Times New Roman"/>
          <w:lang w:eastAsia="pl-PL"/>
        </w:rPr>
        <w:t>piwnice</w:t>
      </w:r>
      <w:proofErr w:type="gramEnd"/>
      <w:r>
        <w:rPr>
          <w:rFonts w:eastAsia="Times New Roman"/>
          <w:lang w:eastAsia="pl-PL"/>
        </w:rPr>
        <w:t xml:space="preserve"> strychy, schowki, wózkarnie, pralnie, suszarnie, </w:t>
      </w:r>
      <w:proofErr w:type="spellStart"/>
      <w:r>
        <w:rPr>
          <w:rFonts w:eastAsia="Times New Roman"/>
          <w:lang w:eastAsia="pl-PL"/>
        </w:rPr>
        <w:t>rowerownie</w:t>
      </w:r>
      <w:proofErr w:type="spellEnd"/>
      <w:r>
        <w:rPr>
          <w:rFonts w:eastAsia="Times New Roman"/>
          <w:lang w:eastAsia="pl-PL"/>
        </w:rPr>
        <w:t>,</w:t>
      </w:r>
    </w:p>
    <w:p w:rsidR="001A2901" w:rsidRDefault="001A2901" w:rsidP="001A2901">
      <w:pPr>
        <w:pStyle w:val="Akapitzlist"/>
        <w:numPr>
          <w:ilvl w:val="0"/>
          <w:numId w:val="2"/>
        </w:numPr>
        <w:shd w:val="clear" w:color="auto" w:fill="FFFFFF"/>
        <w:spacing w:after="0" w:line="240" w:lineRule="auto"/>
        <w:rPr>
          <w:rFonts w:eastAsia="Times New Roman"/>
          <w:lang w:eastAsia="pl-PL"/>
        </w:rPr>
      </w:pPr>
      <w:proofErr w:type="gramStart"/>
      <w:r>
        <w:rPr>
          <w:rFonts w:eastAsia="Times New Roman"/>
          <w:lang w:eastAsia="pl-PL"/>
        </w:rPr>
        <w:t>pomieszczenia</w:t>
      </w:r>
      <w:proofErr w:type="gramEnd"/>
      <w:r>
        <w:rPr>
          <w:rFonts w:eastAsia="Times New Roman"/>
          <w:lang w:eastAsia="pl-PL"/>
        </w:rPr>
        <w:t xml:space="preserve"> socjalne, np. sale gimnastyczne, klubiki, siłownie – wykorzystywane na potrzeby wspólnoty,</w:t>
      </w:r>
    </w:p>
    <w:p w:rsidR="001A2901" w:rsidRDefault="001A2901" w:rsidP="001A2901">
      <w:pPr>
        <w:pStyle w:val="Akapitzlist"/>
        <w:numPr>
          <w:ilvl w:val="0"/>
          <w:numId w:val="2"/>
        </w:numPr>
        <w:shd w:val="clear" w:color="auto" w:fill="FFFFFF"/>
        <w:spacing w:after="0" w:line="240" w:lineRule="auto"/>
        <w:rPr>
          <w:rFonts w:eastAsia="Times New Roman"/>
          <w:lang w:eastAsia="pl-PL"/>
        </w:rPr>
      </w:pPr>
      <w:proofErr w:type="gramStart"/>
      <w:r>
        <w:rPr>
          <w:rFonts w:eastAsia="Times New Roman"/>
          <w:lang w:eastAsia="pl-PL"/>
        </w:rPr>
        <w:t>pomieszczenia</w:t>
      </w:r>
      <w:proofErr w:type="gramEnd"/>
      <w:r>
        <w:rPr>
          <w:rFonts w:eastAsia="Times New Roman"/>
          <w:lang w:eastAsia="pl-PL"/>
        </w:rPr>
        <w:t xml:space="preserve"> gospodarcze i techniczne np. węzeł cieplny, przepompownia, hydrofornia, kotłownia, pomieszczenie na opał itp.,</w:t>
      </w:r>
    </w:p>
    <w:p w:rsidR="001A2901" w:rsidRDefault="001A2901" w:rsidP="001A2901">
      <w:pPr>
        <w:pStyle w:val="Akapitzlist"/>
        <w:numPr>
          <w:ilvl w:val="0"/>
          <w:numId w:val="2"/>
        </w:numPr>
        <w:shd w:val="clear" w:color="auto" w:fill="FFFFFF"/>
        <w:spacing w:after="0" w:line="240" w:lineRule="auto"/>
        <w:rPr>
          <w:rFonts w:eastAsia="Times New Roman"/>
          <w:lang w:eastAsia="pl-PL"/>
        </w:rPr>
      </w:pPr>
      <w:proofErr w:type="gramStart"/>
      <w:r>
        <w:rPr>
          <w:rFonts w:eastAsia="Times New Roman"/>
          <w:lang w:eastAsia="pl-PL"/>
        </w:rPr>
        <w:t>pomieszczenia</w:t>
      </w:r>
      <w:proofErr w:type="gramEnd"/>
      <w:r>
        <w:rPr>
          <w:rFonts w:eastAsia="Times New Roman"/>
          <w:lang w:eastAsia="pl-PL"/>
        </w:rPr>
        <w:t xml:space="preserve"> zajęte na prowadzenie działalności gospodarczej, bez względu na podmiot prowadzący działalność gospodarczą,</w:t>
      </w:r>
    </w:p>
    <w:p w:rsidR="001A2901" w:rsidRDefault="001A2901" w:rsidP="001A2901">
      <w:pPr>
        <w:pStyle w:val="Akapitzlist"/>
        <w:numPr>
          <w:ilvl w:val="0"/>
          <w:numId w:val="2"/>
        </w:numPr>
        <w:shd w:val="clear" w:color="auto" w:fill="FFFFFF"/>
        <w:spacing w:after="0" w:line="240" w:lineRule="auto"/>
        <w:rPr>
          <w:rFonts w:eastAsia="Times New Roman"/>
          <w:lang w:eastAsia="pl-PL"/>
        </w:rPr>
      </w:pPr>
      <w:r>
        <w:rPr>
          <w:rFonts w:eastAsia="Times New Roman"/>
          <w:lang w:eastAsia="pl-PL"/>
        </w:rPr>
        <w:t xml:space="preserve">budynki pozostałe zlokalizowane w obrębie </w:t>
      </w:r>
      <w:proofErr w:type="gramStart"/>
      <w:r>
        <w:rPr>
          <w:rFonts w:eastAsia="Times New Roman"/>
          <w:lang w:eastAsia="pl-PL"/>
        </w:rPr>
        <w:t>działki (które</w:t>
      </w:r>
      <w:proofErr w:type="gramEnd"/>
      <w:r>
        <w:rPr>
          <w:rFonts w:eastAsia="Times New Roman"/>
          <w:lang w:eastAsia="pl-PL"/>
        </w:rPr>
        <w:t xml:space="preserve"> nie są pomieszczeniami przynależnymi do poszczególnych lokali).</w:t>
      </w:r>
    </w:p>
    <w:p w:rsidR="001A2901" w:rsidRDefault="001A2901" w:rsidP="001A2901">
      <w:pPr>
        <w:shd w:val="clear" w:color="auto" w:fill="FFFFFF"/>
        <w:spacing w:after="0" w:line="240" w:lineRule="auto"/>
        <w:ind w:left="357"/>
        <w:jc w:val="center"/>
        <w:rPr>
          <w:rFonts w:eastAsia="Times New Roman"/>
          <w:b/>
          <w:sz w:val="14"/>
          <w:lang w:eastAsia="pl-PL"/>
        </w:rPr>
      </w:pPr>
    </w:p>
    <w:p w:rsidR="001A2901" w:rsidRDefault="001A2901" w:rsidP="001A2901">
      <w:pPr>
        <w:shd w:val="clear" w:color="auto" w:fill="FFFFFF"/>
        <w:spacing w:after="0" w:line="240" w:lineRule="auto"/>
        <w:ind w:left="357"/>
        <w:jc w:val="center"/>
        <w:rPr>
          <w:rFonts w:eastAsia="Times New Roman"/>
          <w:sz w:val="22"/>
          <w:lang w:eastAsia="pl-PL"/>
        </w:rPr>
      </w:pPr>
      <w:r>
        <w:rPr>
          <w:rFonts w:eastAsia="Times New Roman"/>
          <w:b/>
          <w:lang w:eastAsia="pl-PL"/>
        </w:rPr>
        <w:t>Częścią wspólną nie są natomiast lokale i pomieszczenia będące wyłączną własnością Skarbu Państwa, jednostki samorządu terytorialnego, Wojskowej Agencji Mieszkaniowej, spółdzielni mieszkaniowych, deweloperów</w:t>
      </w:r>
      <w:r>
        <w:rPr>
          <w:rFonts w:eastAsia="Times New Roman"/>
          <w:lang w:eastAsia="pl-PL"/>
        </w:rPr>
        <w:t>.</w:t>
      </w:r>
    </w:p>
    <w:p w:rsidR="001A2901" w:rsidRDefault="001A2901" w:rsidP="001A2901">
      <w:pPr>
        <w:shd w:val="clear" w:color="auto" w:fill="FFFFFF"/>
        <w:spacing w:after="0" w:line="240" w:lineRule="auto"/>
        <w:ind w:firstLine="426"/>
        <w:rPr>
          <w:rFonts w:eastAsia="Times New Roman"/>
          <w:b/>
          <w:bCs/>
          <w:lang w:eastAsia="pl-PL"/>
        </w:rPr>
      </w:pPr>
    </w:p>
    <w:p w:rsidR="001A2901" w:rsidRDefault="001A2901" w:rsidP="001A2901">
      <w:pPr>
        <w:shd w:val="clear" w:color="auto" w:fill="FFFFFF"/>
        <w:spacing w:after="0" w:line="240" w:lineRule="auto"/>
        <w:ind w:firstLine="426"/>
        <w:jc w:val="both"/>
        <w:rPr>
          <w:rFonts w:eastAsia="Times New Roman"/>
          <w:lang w:eastAsia="pl-PL"/>
        </w:rPr>
      </w:pPr>
      <w:r>
        <w:rPr>
          <w:rFonts w:eastAsia="Times New Roman"/>
          <w:lang w:eastAsia="pl-PL"/>
        </w:rPr>
        <w:t>Podatnicy nie muszą ustalać powierzchni użytkowej części wspólnych osobiście. Dane na ten temat znajdują się często w aktach notarialnych, dokumentacjach projektowych, inwentaryzacjach, księgach wieczystych itp. Dopiero w przypadku, gdy wspólnota mieszkaniowa nie dysponuje dokumentem określającym powierzchnię części wspólnej, będzie musiała dokonać jej pomiaru.</w:t>
      </w:r>
    </w:p>
    <w:p w:rsidR="001A2901" w:rsidRDefault="001A2901" w:rsidP="001A2901">
      <w:pPr>
        <w:shd w:val="clear" w:color="auto" w:fill="FFFFFF"/>
        <w:spacing w:after="0" w:line="240" w:lineRule="auto"/>
        <w:ind w:firstLine="426"/>
        <w:jc w:val="both"/>
        <w:rPr>
          <w:rFonts w:eastAsia="Times New Roman"/>
          <w:lang w:eastAsia="pl-PL"/>
        </w:rPr>
      </w:pPr>
      <w:r>
        <w:rPr>
          <w:rFonts w:eastAsia="Times New Roman"/>
          <w:lang w:eastAsia="pl-PL"/>
        </w:rPr>
        <w:t xml:space="preserve">Organ podatkowy we współpracy z zarządcami nieruchomości, wspólnotami mieszkaniowymi oraz spółdzielniami mieszkaniowymi dąży do ustalenia powierzchni użytkowej poszczególnych budynków wielorodzinnych oraz zgromadzenia wszystkich danych, które będą niezbędne do zmiany wymiaru podatku od nieruchomości. Na terenie Sochaczewa jest ok. 270 budynków, których dotyczą nowe przepisy, więc proces ten wymaga czasu. </w:t>
      </w:r>
    </w:p>
    <w:p w:rsidR="001A2901" w:rsidRDefault="001A2901" w:rsidP="001A2901">
      <w:pPr>
        <w:shd w:val="clear" w:color="auto" w:fill="FFFFFF"/>
        <w:spacing w:after="0" w:line="240" w:lineRule="auto"/>
        <w:ind w:firstLine="426"/>
        <w:jc w:val="both"/>
        <w:rPr>
          <w:rFonts w:eastAsia="Times New Roman"/>
          <w:lang w:eastAsia="pl-PL"/>
        </w:rPr>
      </w:pPr>
      <w:r>
        <w:rPr>
          <w:rFonts w:eastAsia="Times New Roman"/>
          <w:lang w:eastAsia="pl-PL"/>
        </w:rPr>
        <w:t xml:space="preserve">Zmiana przepisów powoduje, że Podatnicy (osoby fizyczne) są zobligowani złożyć korekty </w:t>
      </w:r>
      <w:r>
        <w:rPr>
          <w:rFonts w:eastAsia="Times New Roman"/>
          <w:i/>
          <w:lang w:eastAsia="pl-PL"/>
        </w:rPr>
        <w:t xml:space="preserve">Informacji w sprawie podatku od nieruchomości, rolnego i leśnego </w:t>
      </w:r>
      <w:r>
        <w:rPr>
          <w:rFonts w:eastAsia="Times New Roman"/>
          <w:lang w:eastAsia="pl-PL"/>
        </w:rPr>
        <w:t xml:space="preserve">i zgłosić do opodatkowania swój udział w części wspólnej budynku. Jest to również okazja do uzupełnienia danych osobowych oraz aktualizacji adresów korespondencyjnych. </w:t>
      </w:r>
      <w:r w:rsidRPr="009A0150">
        <w:rPr>
          <w:rFonts w:eastAsia="Times New Roman"/>
          <w:b/>
          <w:lang w:eastAsia="pl-PL"/>
        </w:rPr>
        <w:t>O rozpoczęciu przyjmowania korekt informacji podatkowych organ podatkowy powiadomi poszczególne wspólnoty mieszkaniowe.</w:t>
      </w:r>
      <w:r>
        <w:rPr>
          <w:rFonts w:eastAsia="Times New Roman"/>
          <w:lang w:eastAsia="pl-PL"/>
        </w:rPr>
        <w:t xml:space="preserve"> </w:t>
      </w:r>
      <w:r w:rsidR="009A0150">
        <w:rPr>
          <w:rFonts w:eastAsia="Times New Roman"/>
          <w:lang w:eastAsia="pl-PL"/>
        </w:rPr>
        <w:br/>
      </w:r>
      <w:bookmarkStart w:id="0" w:name="_GoBack"/>
      <w:bookmarkEnd w:id="0"/>
      <w:r w:rsidR="009F55F3">
        <w:rPr>
          <w:rFonts w:eastAsia="Times New Roman"/>
          <w:lang w:eastAsia="pl-PL"/>
        </w:rPr>
        <w:t>Po wprowadzeniu danych do ewidencji podatkowej Podatnicy</w:t>
      </w:r>
      <w:r>
        <w:rPr>
          <w:rFonts w:eastAsia="Times New Roman"/>
          <w:lang w:eastAsia="pl-PL"/>
        </w:rPr>
        <w:t xml:space="preserve"> otrzymają decyzje zmieniające wymiar podatku na 2016 rok, a w nich informację o nowej kwocie podatku. </w:t>
      </w:r>
    </w:p>
    <w:p w:rsidR="001A2901" w:rsidRDefault="001A2901" w:rsidP="001A2901">
      <w:pPr>
        <w:shd w:val="clear" w:color="auto" w:fill="FFFFFF"/>
        <w:spacing w:after="0" w:line="240" w:lineRule="auto"/>
        <w:ind w:firstLine="426"/>
        <w:jc w:val="both"/>
        <w:rPr>
          <w:rFonts w:eastAsia="Times New Roman"/>
          <w:lang w:eastAsia="pl-PL"/>
        </w:rPr>
      </w:pPr>
      <w:r>
        <w:rPr>
          <w:rFonts w:eastAsia="Times New Roman"/>
          <w:lang w:eastAsia="pl-PL"/>
        </w:rPr>
        <w:t xml:space="preserve">Pracownicy Referatu Podatkowego dołożą wszelkich starań, by procedura ta była jak najmniej uciążliwa dla Podatników. </w:t>
      </w:r>
    </w:p>
    <w:p w:rsidR="001A2901" w:rsidRDefault="001A2901" w:rsidP="001A2901">
      <w:pPr>
        <w:shd w:val="clear" w:color="auto" w:fill="FFFFFF"/>
        <w:spacing w:after="0" w:line="240" w:lineRule="auto"/>
        <w:ind w:firstLine="426"/>
        <w:rPr>
          <w:rFonts w:eastAsia="Times New Roman"/>
          <w:lang w:eastAsia="pl-PL"/>
        </w:rPr>
      </w:pPr>
    </w:p>
    <w:p w:rsidR="001F716F" w:rsidRDefault="001F716F"/>
    <w:sectPr w:rsidR="001F716F" w:rsidSect="001A2901">
      <w:pgSz w:w="11906" w:h="16838"/>
      <w:pgMar w:top="851" w:right="849"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3B5689"/>
    <w:multiLevelType w:val="hybridMultilevel"/>
    <w:tmpl w:val="14507FEE"/>
    <w:lvl w:ilvl="0" w:tplc="0415000F">
      <w:start w:val="1"/>
      <w:numFmt w:val="decimal"/>
      <w:lvlText w:val="%1."/>
      <w:lvlJc w:val="left"/>
      <w:pPr>
        <w:ind w:left="360" w:hanging="360"/>
      </w:p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 w15:restartNumberingAfterBreak="0">
    <w:nsid w:val="2A1C202A"/>
    <w:multiLevelType w:val="hybridMultilevel"/>
    <w:tmpl w:val="1FE6403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lvlOverride w:ilvl="2"/>
    <w:lvlOverride w:ilvl="3"/>
    <w:lvlOverride w:ilvl="4"/>
    <w:lvlOverride w:ilvl="5"/>
    <w:lvlOverride w:ilvl="6"/>
    <w:lvlOverride w:ilvl="7"/>
    <w:lvlOverride w:ilvl="8"/>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5972"/>
    <w:rsid w:val="001A2901"/>
    <w:rsid w:val="001F716F"/>
    <w:rsid w:val="00513A69"/>
    <w:rsid w:val="009A0150"/>
    <w:rsid w:val="009F55F3"/>
    <w:rsid w:val="00CE597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2E9F79-0B08-4B17-B00E-1ABF4FBD5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color w:val="000000"/>
        <w:sz w:val="24"/>
        <w:szCs w:val="24"/>
        <w:lang w:val="pl-P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A2901"/>
    <w:pPr>
      <w:spacing w:after="160" w:line="25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1A29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2001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477</Words>
  <Characters>2866</Characters>
  <Application>Microsoft Office Word</Application>
  <DocSecurity>0</DocSecurity>
  <Lines>23</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Wioletta Brzozowska</dc:creator>
  <cp:keywords/>
  <dc:description/>
  <cp:lastModifiedBy>Wioletta Brzozowska</cp:lastModifiedBy>
  <cp:revision>4</cp:revision>
  <dcterms:created xsi:type="dcterms:W3CDTF">2016-04-06T11:26:00Z</dcterms:created>
  <dcterms:modified xsi:type="dcterms:W3CDTF">2016-04-08T09:43:00Z</dcterms:modified>
</cp:coreProperties>
</file>